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 xml:space="preserve">Информация о результатах экспертизы </w:t>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sidRPr="00F47116">
        <w:rPr>
          <w:rFonts w:ascii="Times New Roman" w:eastAsia="Calibri" w:hAnsi="Times New Roman" w:cs="Times New Roman"/>
          <w:b/>
          <w:bCs/>
          <w:sz w:val="28"/>
          <w:szCs w:val="28"/>
        </w:rPr>
        <w:t>проект</w:t>
      </w:r>
      <w:r>
        <w:rPr>
          <w:rFonts w:ascii="Times New Roman" w:eastAsia="Calibri" w:hAnsi="Times New Roman" w:cs="Times New Roman"/>
          <w:b/>
          <w:bCs/>
          <w:sz w:val="28"/>
          <w:szCs w:val="28"/>
        </w:rPr>
        <w:t>а</w:t>
      </w:r>
      <w:r w:rsidRPr="00F47116">
        <w:rPr>
          <w:rFonts w:ascii="Times New Roman" w:eastAsia="Calibri" w:hAnsi="Times New Roman" w:cs="Times New Roman"/>
          <w:b/>
          <w:bCs/>
          <w:sz w:val="28"/>
          <w:szCs w:val="28"/>
        </w:rPr>
        <w:t xml:space="preserve"> решения Думы Ханты-Мансийского района</w:t>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sidRPr="00F47116">
        <w:rPr>
          <w:rFonts w:ascii="Times New Roman" w:eastAsia="Calibri" w:hAnsi="Times New Roman" w:cs="Times New Roman"/>
          <w:b/>
          <w:bCs/>
          <w:sz w:val="28"/>
          <w:szCs w:val="28"/>
        </w:rPr>
        <w:t>«О внесении изменений в решение Думы Ханты-Мансийского района от 15.12.2023 № 391 «О бюджете Ханты-Мансийского района</w:t>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sidRPr="00F47116">
        <w:rPr>
          <w:rFonts w:ascii="Times New Roman" w:eastAsia="Calibri" w:hAnsi="Times New Roman" w:cs="Times New Roman"/>
          <w:b/>
          <w:bCs/>
          <w:sz w:val="28"/>
          <w:szCs w:val="28"/>
        </w:rPr>
        <w:t>на 2024 год и плановый период 2025 и 2026 годов»</w:t>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bookmarkStart w:id="0" w:name="_GoBack"/>
      <w:bookmarkEnd w:id="0"/>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На основании полномочий, предусмотренных пунктом 2                        статьи 157 Бюджетного кодекса Российской Федерации, пунктом 2 части 2 статьи 9 Федерального закона от 07.02.2011 № 6-ФЗ «Об общих принципах организации и деятельности контрольно-счетных органов субъектов Российской Федерации, федеральных территорий и муниципальных образований», пунктом 2 части 5 статьи 27.5. Устава Ханты-Мансийского района, пунктом 2 части 1 статьи 8 Положения о Контрольно-счетной палате Ханты-Мансийского района, утвержденного решением Думы Ханты-Мансийского района от 22.12.2011 № 99 «Об образовании Контрольно-счетной палаты Ханты-Мансийского района» проведена экспертиза проекта решения Думы Ханты-Мансийского района                      «О внесении изменений в решение Думы Ханты-Мансийского района                                  от 15.12.2023 № 391 «О бюджете Ханты-Мансийского района на 2024 год                               и плановый период 2025 и 2026 годов» (далее – Проект решения, решение                              о бюджете) на соответствие нормам, предусмотренным законодательством Российской Федерации, Ханты-Мансийского автономного округа – Югры, нормативными актами Ханты-Мансийского района.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Проект решения внесен на рассмотрение в Думу Ханты-Мансийского района 05 февраля и передан в Контрольно-счетную палату 06 февраля 2024 года, с нарушением сроков, установленных:</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пунктами 3 и 4 статьи 2 Положения о порядке внесения проектов муниципальных правовых актов в Думу Ханты-Мансийского района, утвержденного решением Думы Ханты-Мансийского района                                           от 21.09.2018 № 370 «О Положении о порядке внесения проектов муниципальных правовых актов в Думу Ханты-Мансийского района», согласно которым Проект муниципального правового акта вносится                       в Думу района не позднее 10 дней до дня его рассмотрения на очередном заседании соответствующей постоянной комиссии или на совместном заседании комиссий Думы района, если иное не предусмотрено федеральным законодательством, законодательством Ханты-Мансийского автономного округа – Югры, Уставом района, иными муниципальными нормативными правовыми актами Ханты-Мансийского района. Проект муниципального правового акта, внесенный в Думу                                  Ханты-Мансийского района с нарушением вышеуказанного срока, подлежит рассмотрению на следующем очередном заседании Думы района;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пунктом 3 распоряжения Думы Ханты-Мансийского района                                от 19.01.2024 № 3-р «О созыве очередного заседания Думы                             Ханты-Мансийского района седьмого созыва», которым предписано субъектам правотворческой инициативы внести в Думу Ханты-Мансийского </w:t>
      </w:r>
      <w:r w:rsidRPr="00F47116">
        <w:rPr>
          <w:rFonts w:ascii="Times New Roman" w:eastAsia="Calibri" w:hAnsi="Times New Roman" w:cs="Times New Roman"/>
          <w:sz w:val="28"/>
          <w:szCs w:val="28"/>
        </w:rPr>
        <w:lastRenderedPageBreak/>
        <w:t>района проекты решений Думы Ханты-Мансийского района и документы к ним не позднее 2 февраля 2024 года.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В Контрольно-счетную палату для проведения экспертно-аналитического мероприятия Проект решения поступил 6 февраля 2024 года.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Одновременно с Проектом решения в Контрольно-счетную палату                              Ханты-Мансийского района представлены копии документов:</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1. пояснительной записки;</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2. заключение по результатам антикоррупционной экспертизы                  </w:t>
      </w:r>
      <w:proofErr w:type="gramStart"/>
      <w:r w:rsidRPr="00F47116">
        <w:rPr>
          <w:rFonts w:ascii="Times New Roman" w:eastAsia="Calibri" w:hAnsi="Times New Roman" w:cs="Times New Roman"/>
          <w:sz w:val="28"/>
          <w:szCs w:val="28"/>
        </w:rPr>
        <w:t xml:space="preserve">   (</w:t>
      </w:r>
      <w:proofErr w:type="gramEnd"/>
      <w:r w:rsidRPr="00F47116">
        <w:rPr>
          <w:rFonts w:ascii="Times New Roman" w:eastAsia="Calibri" w:hAnsi="Times New Roman" w:cs="Times New Roman"/>
          <w:sz w:val="28"/>
          <w:szCs w:val="28"/>
        </w:rPr>
        <w:t>об отсутствии коррупциогенных факторов) управления юридической, кадровой работы и муниципальной службы администрации Ханты-Мансийского района от 05.02.2024 № 16;</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3. сведения об исполнении бюджета района, по состоянию на 01.02.2024.</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Принимая во внимание Положение о бюджетном устройстве и бюджетном процессе в Ханты-Мансийском районе, утвержденное решением Думы Ханты-Мансийского района № 479 от 27.06.2019 к рассмотрению не представлены:</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ожидаемые итоги социально-экономического развития района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в текущем финансовом году – в связи с тем, что сроки формирования ожидаемых итогов социально-экономического развития района, установленные нормативным актом администрации района, не наступили;</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уточненный прогноз социально-экономического развития                      Ханты-Мансийского района в плановом периоде, в связи с тем, что параметры прогноза не уточнялись.</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Документы в части финансово-экономического обоснования предлагаемых Проектом решения изменений по расходам, в разрезе главных распорядителей средств бюджета Ханты-Мансийского района, представлены                                                       в электронном виде.</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Проектом решения уточняются основные характеристики бюджета                  Ханты-Мансийского района на 2024 год и плановый период 2025 и 2026 годов.</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Анализ вносимых изменений по основным характеристикам бюджета на 2024 год представлен в Таблице 1.</w:t>
      </w:r>
    </w:p>
    <w:p w:rsidR="00F47116" w:rsidRPr="00F47116" w:rsidRDefault="00F47116" w:rsidP="00F47116">
      <w:pPr>
        <w:shd w:val="clear" w:color="auto" w:fill="FFFFFF"/>
        <w:spacing w:after="0" w:line="240" w:lineRule="auto"/>
        <w:ind w:firstLine="709"/>
        <w:contextualSpacing/>
        <w:jc w:val="right"/>
        <w:rPr>
          <w:rFonts w:ascii="Times New Roman" w:eastAsia="Times New Roman" w:hAnsi="Times New Roman" w:cs="Times New Roman"/>
          <w:sz w:val="24"/>
          <w:szCs w:val="24"/>
          <w:lang w:eastAsia="ru-RU"/>
        </w:rPr>
      </w:pPr>
      <w:r w:rsidRPr="00F47116">
        <w:rPr>
          <w:rFonts w:ascii="Times New Roman" w:eastAsia="Times New Roman" w:hAnsi="Times New Roman" w:cs="Times New Roman"/>
          <w:sz w:val="24"/>
          <w:szCs w:val="24"/>
          <w:lang w:eastAsia="ru-RU"/>
        </w:rPr>
        <w:t>Таблица 1</w:t>
      </w:r>
    </w:p>
    <w:p w:rsidR="00F47116" w:rsidRPr="00F47116" w:rsidRDefault="00F47116" w:rsidP="00F47116">
      <w:pPr>
        <w:shd w:val="clear" w:color="auto" w:fill="FFFFFF"/>
        <w:spacing w:after="0" w:line="240" w:lineRule="auto"/>
        <w:ind w:firstLine="709"/>
        <w:contextualSpacing/>
        <w:jc w:val="right"/>
        <w:rPr>
          <w:rFonts w:ascii="Times New Roman" w:eastAsia="Times New Roman" w:hAnsi="Times New Roman" w:cs="Times New Roman"/>
          <w:sz w:val="24"/>
          <w:szCs w:val="24"/>
          <w:lang w:eastAsia="ru-RU"/>
        </w:rPr>
      </w:pPr>
      <w:r w:rsidRPr="00F47116">
        <w:rPr>
          <w:rFonts w:ascii="Times New Roman" w:eastAsia="Times New Roman" w:hAnsi="Times New Roman" w:cs="Times New Roman"/>
          <w:sz w:val="24"/>
          <w:szCs w:val="24"/>
          <w:lang w:eastAsia="ru-RU"/>
        </w:rPr>
        <w:t>(тыс. рублей)</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0"/>
        <w:gridCol w:w="2332"/>
        <w:gridCol w:w="2188"/>
        <w:gridCol w:w="1895"/>
        <w:gridCol w:w="1021"/>
      </w:tblGrid>
      <w:tr w:rsidR="00F47116" w:rsidRPr="00F47116" w:rsidTr="0023463D">
        <w:trPr>
          <w:trHeight w:val="424"/>
          <w:jc w:val="center"/>
        </w:trPr>
        <w:tc>
          <w:tcPr>
            <w:tcW w:w="979" w:type="pct"/>
            <w:vMerge w:val="restar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Наименование показателя</w:t>
            </w:r>
          </w:p>
        </w:tc>
        <w:tc>
          <w:tcPr>
            <w:tcW w:w="1261" w:type="pct"/>
            <w:vMerge w:val="restar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p>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Решение Думы                             от 15.12.2023 № 391</w:t>
            </w:r>
          </w:p>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p>
        </w:tc>
        <w:tc>
          <w:tcPr>
            <w:tcW w:w="1183" w:type="pct"/>
            <w:vMerge w:val="restar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Проект решения</w:t>
            </w:r>
          </w:p>
        </w:tc>
        <w:tc>
          <w:tcPr>
            <w:tcW w:w="1577" w:type="pct"/>
            <w:gridSpan w:val="2"/>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Отклонение</w:t>
            </w:r>
          </w:p>
        </w:tc>
      </w:tr>
      <w:tr w:rsidR="00F47116" w:rsidRPr="00F47116" w:rsidTr="0023463D">
        <w:trPr>
          <w:trHeight w:val="424"/>
          <w:jc w:val="center"/>
        </w:trPr>
        <w:tc>
          <w:tcPr>
            <w:tcW w:w="979" w:type="pct"/>
            <w:vMerge/>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p>
        </w:tc>
        <w:tc>
          <w:tcPr>
            <w:tcW w:w="1261" w:type="pct"/>
            <w:vMerge/>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p>
        </w:tc>
        <w:tc>
          <w:tcPr>
            <w:tcW w:w="1183" w:type="pct"/>
            <w:vMerge/>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p>
        </w:tc>
        <w:tc>
          <w:tcPr>
            <w:tcW w:w="1025" w:type="pct"/>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в абсолютных величинах</w:t>
            </w:r>
          </w:p>
        </w:tc>
        <w:tc>
          <w:tcPr>
            <w:tcW w:w="552" w:type="pct"/>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в %</w:t>
            </w:r>
          </w:p>
        </w:tc>
      </w:tr>
      <w:tr w:rsidR="00F47116" w:rsidRPr="00F47116" w:rsidTr="0023463D">
        <w:trPr>
          <w:trHeight w:val="323"/>
          <w:jc w:val="center"/>
        </w:trPr>
        <w:tc>
          <w:tcPr>
            <w:tcW w:w="979"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1</w:t>
            </w:r>
          </w:p>
        </w:tc>
        <w:tc>
          <w:tcPr>
            <w:tcW w:w="1261"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2</w:t>
            </w:r>
          </w:p>
        </w:tc>
        <w:tc>
          <w:tcPr>
            <w:tcW w:w="1183"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3</w:t>
            </w:r>
          </w:p>
        </w:tc>
        <w:tc>
          <w:tcPr>
            <w:tcW w:w="1025"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4</w:t>
            </w:r>
          </w:p>
        </w:tc>
        <w:tc>
          <w:tcPr>
            <w:tcW w:w="552"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5</w:t>
            </w:r>
          </w:p>
        </w:tc>
      </w:tr>
      <w:tr w:rsidR="00F47116" w:rsidRPr="00F47116" w:rsidTr="0023463D">
        <w:trPr>
          <w:trHeight w:val="279"/>
          <w:jc w:val="center"/>
        </w:trPr>
        <w:tc>
          <w:tcPr>
            <w:tcW w:w="979"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Доходы</w:t>
            </w:r>
          </w:p>
        </w:tc>
        <w:tc>
          <w:tcPr>
            <w:tcW w:w="1261"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sz w:val="18"/>
                <w:szCs w:val="18"/>
              </w:rPr>
              <w:t>4 866 507,5</w:t>
            </w:r>
          </w:p>
        </w:tc>
        <w:tc>
          <w:tcPr>
            <w:tcW w:w="1183"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sz w:val="18"/>
                <w:szCs w:val="18"/>
              </w:rPr>
              <w:t>4 941 970,2</w:t>
            </w:r>
          </w:p>
        </w:tc>
        <w:tc>
          <w:tcPr>
            <w:tcW w:w="1025"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color w:val="000000"/>
                <w:sz w:val="18"/>
                <w:szCs w:val="18"/>
              </w:rPr>
              <w:t>75 462,7</w:t>
            </w:r>
          </w:p>
        </w:tc>
        <w:tc>
          <w:tcPr>
            <w:tcW w:w="552"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color w:val="000000"/>
                <w:sz w:val="18"/>
                <w:szCs w:val="18"/>
              </w:rPr>
              <w:t>1,6</w:t>
            </w:r>
          </w:p>
        </w:tc>
      </w:tr>
      <w:tr w:rsidR="00F47116" w:rsidRPr="00F47116" w:rsidTr="0023463D">
        <w:trPr>
          <w:trHeight w:val="323"/>
          <w:jc w:val="center"/>
        </w:trPr>
        <w:tc>
          <w:tcPr>
            <w:tcW w:w="979"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Расходы</w:t>
            </w:r>
          </w:p>
        </w:tc>
        <w:tc>
          <w:tcPr>
            <w:tcW w:w="1261"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sz w:val="18"/>
                <w:szCs w:val="18"/>
              </w:rPr>
              <w:t>4 981 195,5</w:t>
            </w:r>
          </w:p>
        </w:tc>
        <w:tc>
          <w:tcPr>
            <w:tcW w:w="1183"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sz w:val="18"/>
                <w:szCs w:val="18"/>
              </w:rPr>
              <w:t>5 729 538,0</w:t>
            </w:r>
          </w:p>
        </w:tc>
        <w:tc>
          <w:tcPr>
            <w:tcW w:w="1025"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sz w:val="18"/>
                <w:szCs w:val="18"/>
              </w:rPr>
              <w:t>748 342,5</w:t>
            </w:r>
          </w:p>
        </w:tc>
        <w:tc>
          <w:tcPr>
            <w:tcW w:w="552"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color w:val="000000"/>
                <w:sz w:val="18"/>
                <w:szCs w:val="18"/>
              </w:rPr>
              <w:t>15,0</w:t>
            </w:r>
          </w:p>
        </w:tc>
      </w:tr>
      <w:tr w:rsidR="00F47116" w:rsidRPr="00F47116" w:rsidTr="0023463D">
        <w:trPr>
          <w:trHeight w:val="323"/>
          <w:jc w:val="center"/>
        </w:trPr>
        <w:tc>
          <w:tcPr>
            <w:tcW w:w="979"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Дефицит</w:t>
            </w:r>
          </w:p>
        </w:tc>
        <w:tc>
          <w:tcPr>
            <w:tcW w:w="1261"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sz w:val="18"/>
                <w:szCs w:val="18"/>
              </w:rPr>
              <w:t>-114 688,0</w:t>
            </w:r>
          </w:p>
        </w:tc>
        <w:tc>
          <w:tcPr>
            <w:tcW w:w="1183"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sz w:val="18"/>
                <w:szCs w:val="18"/>
              </w:rPr>
              <w:t>-787 567,8</w:t>
            </w:r>
          </w:p>
        </w:tc>
        <w:tc>
          <w:tcPr>
            <w:tcW w:w="1025"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sz w:val="18"/>
                <w:szCs w:val="18"/>
              </w:rPr>
              <w:t>-672 879,8</w:t>
            </w:r>
          </w:p>
        </w:tc>
        <w:tc>
          <w:tcPr>
            <w:tcW w:w="552" w:type="pct"/>
            <w:tcBorders>
              <w:top w:val="nil"/>
              <w:left w:val="nil"/>
              <w:bottom w:val="single" w:sz="8" w:space="0" w:color="auto"/>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8"/>
                <w:szCs w:val="18"/>
                <w:lang w:eastAsia="ru-RU"/>
              </w:rPr>
            </w:pPr>
            <w:r w:rsidRPr="00F47116">
              <w:rPr>
                <w:rFonts w:ascii="Times New Roman" w:eastAsia="Calibri" w:hAnsi="Times New Roman" w:cs="Times New Roman"/>
                <w:color w:val="000000"/>
                <w:sz w:val="18"/>
                <w:szCs w:val="18"/>
              </w:rPr>
              <w:t>586,7</w:t>
            </w:r>
          </w:p>
        </w:tc>
      </w:tr>
    </w:tbl>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Проектом решения предлагается увеличить: доходную часть                             бюджета на 75 462,7 тыс. рублей или 1,6 %, расходную часть бюджета                       на 748 342,5 тыс. рублей или 15,0 %. Дефицит бюджета увеличится на 672 879,8 тыс. рублей или на 586,7% (в 6 раз) и составит 787 567,8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sidRPr="00F47116">
        <w:rPr>
          <w:rFonts w:ascii="Times New Roman" w:eastAsia="Calibri" w:hAnsi="Times New Roman" w:cs="Times New Roman"/>
          <w:b/>
          <w:bCs/>
          <w:sz w:val="28"/>
          <w:szCs w:val="28"/>
        </w:rPr>
        <w:t>I. Изменение доходной части бюджета 2024 года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Согласно Проекту решения прогнозируемый объём доходов бюджета            Ханты-Мансийского района на 2024 год составит 4 941 970,2 тыс. </w:t>
      </w:r>
      <w:proofErr w:type="gramStart"/>
      <w:r w:rsidRPr="00F47116">
        <w:rPr>
          <w:rFonts w:ascii="Times New Roman" w:eastAsia="Calibri" w:hAnsi="Times New Roman" w:cs="Times New Roman"/>
          <w:sz w:val="28"/>
          <w:szCs w:val="28"/>
        </w:rPr>
        <w:t xml:space="preserve">рублей,   </w:t>
      </w:r>
      <w:proofErr w:type="gramEnd"/>
      <w:r w:rsidRPr="00F47116">
        <w:rPr>
          <w:rFonts w:ascii="Times New Roman" w:eastAsia="Calibri" w:hAnsi="Times New Roman" w:cs="Times New Roman"/>
          <w:sz w:val="28"/>
          <w:szCs w:val="28"/>
        </w:rPr>
        <w:t xml:space="preserve">                    что выше на 75 462,7 тыс. рублей или 1,6 % объёма доходов бюджета, утвержденного решением Думы Ханты-Мансийского района от 15.12.2023 № 391 «О бюджете Ханты-Мансийского района на 2024 год и плановый период 2025                  и 2026 годов».</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Доходная часть бюджета Ханты-Мансийского района на 2024 год                  в общем объеме увеличивается на 75 462,7 тыс. рублей, в том числе за счет:</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1) увеличения налоговых доходов на 78 745,0 тыс. рублей, за счет увеличения налога на доходы физических лиц, исходя из ожидаемой оценки исполнения;</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2) увеличения неналоговых доходов на 257,7 тыс. рублей, за счет прочих доходов от компенсации затрат бюджетов муниципальных районов, исходя из фактического исполнения;</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3) увеличения иных межбюджетных трансфертов из окружного бюджета на 700,0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4) уменьшения инициативных платежей, зачисляемых в бюджеты муниципальных районов на сумму 18,0 тыс. рублей, за счет возврата неиспользованных средств по инициативному проекту «Обустройство детской площадки по ул. Киевской, д. 11 А, в п. Горноправдинск»;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5) уменьшения безвозмездных поступлений от негосударственных организаций на сумму 2 079,1 тыс. рублей, за счет возврата сложившейся экономии средств по итогам исполнения мероприятий за счет средств ООО               </w:t>
      </w:r>
      <w:proofErr w:type="gramStart"/>
      <w:r w:rsidRPr="00F47116">
        <w:rPr>
          <w:rFonts w:ascii="Times New Roman" w:eastAsia="Calibri" w:hAnsi="Times New Roman" w:cs="Times New Roman"/>
          <w:sz w:val="28"/>
          <w:szCs w:val="28"/>
        </w:rPr>
        <w:t xml:space="preserve">   «</w:t>
      </w:r>
      <w:proofErr w:type="gramEnd"/>
      <w:r w:rsidRPr="00F47116">
        <w:rPr>
          <w:rFonts w:ascii="Times New Roman" w:eastAsia="Calibri" w:hAnsi="Times New Roman" w:cs="Times New Roman"/>
          <w:sz w:val="28"/>
          <w:szCs w:val="28"/>
        </w:rPr>
        <w:t>РН-Юганскнефтегаз» по договорам пожертвования денежных средств                             от 24.12.2020 № 2142020/2842Д, от 29.12.2021 № 2142021/3368Д;</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6)</w:t>
      </w:r>
      <w:r w:rsidRPr="00F47116">
        <w:rPr>
          <w:rFonts w:ascii="Times New Roman" w:eastAsia="Calibri" w:hAnsi="Times New Roman" w:cs="Times New Roman"/>
          <w:sz w:val="28"/>
          <w:szCs w:val="28"/>
        </w:rPr>
        <w:tab/>
        <w:t>уменьшения доходов на сумму 2 142,9 тыс. рублей от возврата прочих остатков субвенций и иных межбюджетных трансфертов, имеющих целевое назначение, прошлых лет в бюджет округа.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 </w:t>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sidRPr="00F47116">
        <w:rPr>
          <w:rFonts w:ascii="Times New Roman" w:eastAsia="Calibri" w:hAnsi="Times New Roman" w:cs="Times New Roman"/>
          <w:b/>
          <w:bCs/>
          <w:sz w:val="28"/>
          <w:szCs w:val="28"/>
        </w:rPr>
        <w:t>II. Изменение расходной части бюджета 2024 года</w:t>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Проектом решения предлагается утвердить расходы бюджета                     Ханты-Мансийского района на 2024 год в объеме 5 729 538,0 тыс. </w:t>
      </w:r>
      <w:proofErr w:type="gramStart"/>
      <w:r w:rsidRPr="00F47116">
        <w:rPr>
          <w:rFonts w:ascii="Times New Roman" w:eastAsia="Calibri" w:hAnsi="Times New Roman" w:cs="Times New Roman"/>
          <w:sz w:val="28"/>
          <w:szCs w:val="28"/>
        </w:rPr>
        <w:t xml:space="preserve">рублей,   </w:t>
      </w:r>
      <w:proofErr w:type="gramEnd"/>
      <w:r w:rsidRPr="00F47116">
        <w:rPr>
          <w:rFonts w:ascii="Times New Roman" w:eastAsia="Calibri" w:hAnsi="Times New Roman" w:cs="Times New Roman"/>
          <w:sz w:val="28"/>
          <w:szCs w:val="28"/>
        </w:rPr>
        <w:t xml:space="preserve">                 что на 748 342,5 тыс. рублей или 15,0 % выше объема, утвержденного решением Думы Ханты-Мансийского района от 15.12.2023 № 391 «О бюджете Ханты-Мансийского района на 2024 год и плановый период 2025 и 2026 годов».</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Анализ изменений, вносимых в расходную часть бюджета района                           на 2024 год, в разрезе разделов классификации расходов бюджета представлен в Таблице 2.</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right"/>
        <w:rPr>
          <w:rFonts w:ascii="Times New Roman" w:eastAsia="Times New Roman" w:hAnsi="Times New Roman" w:cs="Times New Roman"/>
          <w:sz w:val="24"/>
          <w:szCs w:val="24"/>
          <w:lang w:eastAsia="ru-RU"/>
        </w:rPr>
      </w:pPr>
      <w:r w:rsidRPr="00F47116">
        <w:rPr>
          <w:rFonts w:ascii="Times New Roman" w:eastAsia="Times New Roman" w:hAnsi="Times New Roman" w:cs="Times New Roman"/>
          <w:sz w:val="24"/>
          <w:szCs w:val="24"/>
          <w:lang w:eastAsia="ru-RU"/>
        </w:rPr>
        <w:t>Таблица 2</w:t>
      </w:r>
    </w:p>
    <w:p w:rsidR="00F47116" w:rsidRPr="00F47116" w:rsidRDefault="00F47116" w:rsidP="00F47116">
      <w:pPr>
        <w:shd w:val="clear" w:color="auto" w:fill="FFFFFF"/>
        <w:spacing w:after="0" w:line="240" w:lineRule="auto"/>
        <w:ind w:firstLine="709"/>
        <w:contextualSpacing/>
        <w:jc w:val="right"/>
        <w:rPr>
          <w:rFonts w:ascii="Times New Roman" w:eastAsia="Times New Roman" w:hAnsi="Times New Roman" w:cs="Times New Roman"/>
          <w:sz w:val="24"/>
          <w:szCs w:val="24"/>
          <w:lang w:eastAsia="ru-RU"/>
        </w:rPr>
      </w:pPr>
      <w:r w:rsidRPr="00F47116">
        <w:rPr>
          <w:rFonts w:ascii="Times New Roman" w:eastAsia="Times New Roman" w:hAnsi="Times New Roman" w:cs="Times New Roman"/>
          <w:sz w:val="24"/>
          <w:szCs w:val="24"/>
          <w:lang w:eastAsia="ru-RU"/>
        </w:rPr>
        <w:lastRenderedPageBreak/>
        <w:t>(тыс. рублей)</w:t>
      </w:r>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0"/>
        <w:gridCol w:w="2080"/>
        <w:gridCol w:w="1580"/>
        <w:gridCol w:w="2286"/>
        <w:gridCol w:w="621"/>
      </w:tblGrid>
      <w:tr w:rsidR="00F47116" w:rsidRPr="00F47116" w:rsidTr="0023463D">
        <w:trPr>
          <w:trHeight w:val="418"/>
        </w:trPr>
        <w:tc>
          <w:tcPr>
            <w:tcW w:w="1480" w:type="pct"/>
            <w:vMerge w:val="restart"/>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b/>
                <w:color w:val="000000"/>
                <w:sz w:val="18"/>
                <w:szCs w:val="18"/>
                <w:lang w:eastAsia="ru-RU"/>
              </w:rPr>
            </w:pPr>
            <w:r w:rsidRPr="00F47116">
              <w:rPr>
                <w:rFonts w:ascii="Times New Roman" w:eastAsia="Times New Roman" w:hAnsi="Times New Roman" w:cs="Times New Roman"/>
                <w:b/>
                <w:color w:val="000000"/>
                <w:sz w:val="18"/>
                <w:szCs w:val="18"/>
                <w:lang w:eastAsia="ru-RU"/>
              </w:rPr>
              <w:t>Наименование раздела</w:t>
            </w:r>
          </w:p>
        </w:tc>
        <w:tc>
          <w:tcPr>
            <w:tcW w:w="1207" w:type="pct"/>
            <w:vMerge w:val="restart"/>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p>
          <w:p w:rsidR="00F47116" w:rsidRPr="00F47116" w:rsidRDefault="00F47116" w:rsidP="00F47116">
            <w:pPr>
              <w:spacing w:after="0" w:line="240" w:lineRule="auto"/>
              <w:jc w:val="center"/>
              <w:rPr>
                <w:rFonts w:ascii="Times New Roman" w:eastAsia="Times New Roman" w:hAnsi="Times New Roman" w:cs="Times New Roman"/>
                <w:b/>
                <w:bCs/>
                <w:color w:val="000000"/>
                <w:sz w:val="18"/>
                <w:szCs w:val="18"/>
                <w:lang w:eastAsia="ru-RU"/>
              </w:rPr>
            </w:pPr>
            <w:r w:rsidRPr="00F47116">
              <w:rPr>
                <w:rFonts w:ascii="Times New Roman" w:eastAsia="Times New Roman" w:hAnsi="Times New Roman" w:cs="Times New Roman"/>
                <w:b/>
                <w:bCs/>
                <w:color w:val="000000"/>
                <w:sz w:val="18"/>
                <w:szCs w:val="18"/>
                <w:lang w:eastAsia="ru-RU"/>
              </w:rPr>
              <w:t>Решение Думы                             от 15.12.2023 № 391</w:t>
            </w:r>
          </w:p>
          <w:p w:rsidR="00F47116" w:rsidRPr="00F47116" w:rsidRDefault="00F47116" w:rsidP="00F47116">
            <w:pPr>
              <w:spacing w:after="0" w:line="240" w:lineRule="auto"/>
              <w:jc w:val="center"/>
              <w:rPr>
                <w:rFonts w:ascii="Times New Roman" w:eastAsia="Times New Roman" w:hAnsi="Times New Roman" w:cs="Times New Roman"/>
                <w:b/>
                <w:color w:val="000000"/>
                <w:sz w:val="18"/>
                <w:szCs w:val="18"/>
                <w:lang w:eastAsia="ru-RU"/>
              </w:rPr>
            </w:pPr>
          </w:p>
        </w:tc>
        <w:tc>
          <w:tcPr>
            <w:tcW w:w="796" w:type="pct"/>
            <w:vMerge w:val="restart"/>
            <w:shd w:val="clear" w:color="auto" w:fill="auto"/>
            <w:noWrap/>
            <w:vAlign w:val="center"/>
          </w:tcPr>
          <w:p w:rsidR="00F47116" w:rsidRPr="00F47116" w:rsidRDefault="00F47116" w:rsidP="00F47116">
            <w:pPr>
              <w:spacing w:after="0" w:line="240" w:lineRule="auto"/>
              <w:jc w:val="center"/>
              <w:rPr>
                <w:rFonts w:ascii="Times New Roman" w:eastAsia="Times New Roman" w:hAnsi="Times New Roman" w:cs="Times New Roman"/>
                <w:b/>
                <w:color w:val="000000"/>
                <w:sz w:val="18"/>
                <w:szCs w:val="18"/>
                <w:lang w:eastAsia="ru-RU"/>
              </w:rPr>
            </w:pPr>
            <w:r w:rsidRPr="00F47116">
              <w:rPr>
                <w:rFonts w:ascii="Times New Roman" w:eastAsia="Times New Roman" w:hAnsi="Times New Roman" w:cs="Times New Roman"/>
                <w:b/>
                <w:color w:val="000000"/>
                <w:sz w:val="18"/>
                <w:szCs w:val="18"/>
                <w:lang w:eastAsia="ru-RU"/>
              </w:rPr>
              <w:t>Проект решения</w:t>
            </w:r>
          </w:p>
        </w:tc>
        <w:tc>
          <w:tcPr>
            <w:tcW w:w="1517" w:type="pct"/>
            <w:gridSpan w:val="2"/>
            <w:shd w:val="clear" w:color="auto" w:fill="auto"/>
            <w:noWrap/>
            <w:vAlign w:val="center"/>
          </w:tcPr>
          <w:p w:rsidR="00F47116" w:rsidRPr="00F47116" w:rsidRDefault="00F47116" w:rsidP="00F47116">
            <w:pPr>
              <w:spacing w:after="0" w:line="240" w:lineRule="auto"/>
              <w:jc w:val="center"/>
              <w:rPr>
                <w:rFonts w:ascii="Times New Roman" w:eastAsia="Times New Roman" w:hAnsi="Times New Roman" w:cs="Times New Roman"/>
                <w:b/>
                <w:color w:val="000000"/>
                <w:sz w:val="18"/>
                <w:szCs w:val="18"/>
                <w:lang w:eastAsia="ru-RU"/>
              </w:rPr>
            </w:pPr>
            <w:r w:rsidRPr="00F47116">
              <w:rPr>
                <w:rFonts w:ascii="Times New Roman" w:eastAsia="Times New Roman" w:hAnsi="Times New Roman" w:cs="Times New Roman"/>
                <w:b/>
                <w:color w:val="000000"/>
                <w:sz w:val="18"/>
                <w:szCs w:val="18"/>
                <w:lang w:eastAsia="ru-RU"/>
              </w:rPr>
              <w:t>Отклонение</w:t>
            </w:r>
          </w:p>
        </w:tc>
      </w:tr>
      <w:tr w:rsidR="00F47116" w:rsidRPr="00F47116" w:rsidTr="0023463D">
        <w:trPr>
          <w:trHeight w:val="422"/>
        </w:trPr>
        <w:tc>
          <w:tcPr>
            <w:tcW w:w="1480" w:type="pct"/>
            <w:vMerge/>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b/>
                <w:color w:val="000000"/>
                <w:sz w:val="18"/>
                <w:szCs w:val="18"/>
                <w:lang w:eastAsia="ru-RU"/>
              </w:rPr>
            </w:pPr>
          </w:p>
        </w:tc>
        <w:tc>
          <w:tcPr>
            <w:tcW w:w="1207" w:type="pct"/>
            <w:vMerge/>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b/>
                <w:color w:val="000000"/>
                <w:sz w:val="18"/>
                <w:szCs w:val="18"/>
                <w:lang w:eastAsia="ru-RU"/>
              </w:rPr>
            </w:pPr>
          </w:p>
        </w:tc>
        <w:tc>
          <w:tcPr>
            <w:tcW w:w="796" w:type="pct"/>
            <w:vMerge/>
            <w:shd w:val="clear" w:color="auto" w:fill="auto"/>
            <w:noWrap/>
            <w:vAlign w:val="center"/>
          </w:tcPr>
          <w:p w:rsidR="00F47116" w:rsidRPr="00F47116" w:rsidRDefault="00F47116" w:rsidP="00F47116">
            <w:pPr>
              <w:spacing w:after="0" w:line="240" w:lineRule="auto"/>
              <w:jc w:val="center"/>
              <w:rPr>
                <w:rFonts w:ascii="Times New Roman" w:eastAsia="Times New Roman" w:hAnsi="Times New Roman" w:cs="Times New Roman"/>
                <w:b/>
                <w:color w:val="000000"/>
                <w:sz w:val="18"/>
                <w:szCs w:val="18"/>
                <w:lang w:eastAsia="ru-RU"/>
              </w:rPr>
            </w:pPr>
          </w:p>
        </w:tc>
        <w:tc>
          <w:tcPr>
            <w:tcW w:w="1152" w:type="pct"/>
            <w:shd w:val="clear" w:color="auto" w:fill="auto"/>
            <w:noWrap/>
            <w:vAlign w:val="center"/>
          </w:tcPr>
          <w:p w:rsidR="00F47116" w:rsidRPr="00F47116" w:rsidRDefault="00F47116" w:rsidP="00F47116">
            <w:pPr>
              <w:spacing w:after="0" w:line="240" w:lineRule="auto"/>
              <w:jc w:val="center"/>
              <w:rPr>
                <w:rFonts w:ascii="Times New Roman" w:eastAsia="Times New Roman" w:hAnsi="Times New Roman" w:cs="Times New Roman"/>
                <w:b/>
                <w:color w:val="000000"/>
                <w:sz w:val="18"/>
                <w:szCs w:val="18"/>
                <w:lang w:eastAsia="ru-RU"/>
              </w:rPr>
            </w:pPr>
            <w:r w:rsidRPr="00F47116">
              <w:rPr>
                <w:rFonts w:ascii="Times New Roman" w:eastAsia="Times New Roman" w:hAnsi="Times New Roman" w:cs="Times New Roman"/>
                <w:b/>
                <w:color w:val="000000"/>
                <w:sz w:val="18"/>
                <w:szCs w:val="18"/>
                <w:lang w:eastAsia="ru-RU"/>
              </w:rPr>
              <w:t>в абсолютных величинах</w:t>
            </w:r>
          </w:p>
        </w:tc>
        <w:tc>
          <w:tcPr>
            <w:tcW w:w="365" w:type="pct"/>
            <w:shd w:val="clear" w:color="auto" w:fill="auto"/>
            <w:noWrap/>
            <w:vAlign w:val="center"/>
          </w:tcPr>
          <w:p w:rsidR="00F47116" w:rsidRPr="00F47116" w:rsidRDefault="00F47116" w:rsidP="00F47116">
            <w:pPr>
              <w:spacing w:after="0" w:line="240" w:lineRule="auto"/>
              <w:jc w:val="center"/>
              <w:rPr>
                <w:rFonts w:ascii="Times New Roman" w:eastAsia="Times New Roman" w:hAnsi="Times New Roman" w:cs="Times New Roman"/>
                <w:b/>
                <w:color w:val="000000"/>
                <w:sz w:val="18"/>
                <w:szCs w:val="18"/>
                <w:lang w:eastAsia="ru-RU"/>
              </w:rPr>
            </w:pPr>
            <w:r w:rsidRPr="00F47116">
              <w:rPr>
                <w:rFonts w:ascii="Times New Roman" w:eastAsia="Times New Roman" w:hAnsi="Times New Roman" w:cs="Times New Roman"/>
                <w:b/>
                <w:color w:val="000000"/>
                <w:sz w:val="18"/>
                <w:szCs w:val="18"/>
                <w:lang w:eastAsia="ru-RU"/>
              </w:rPr>
              <w:t>в %</w:t>
            </w:r>
          </w:p>
        </w:tc>
      </w:tr>
      <w:tr w:rsidR="00F47116" w:rsidRPr="00F47116" w:rsidTr="0023463D">
        <w:trPr>
          <w:trHeight w:val="222"/>
        </w:trPr>
        <w:tc>
          <w:tcPr>
            <w:tcW w:w="1480" w:type="pct"/>
            <w:shd w:val="clear" w:color="auto" w:fill="auto"/>
            <w:vAlign w:val="center"/>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1</w:t>
            </w:r>
          </w:p>
        </w:tc>
        <w:tc>
          <w:tcPr>
            <w:tcW w:w="1207" w:type="pct"/>
            <w:shd w:val="clear" w:color="auto" w:fill="auto"/>
            <w:vAlign w:val="center"/>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2</w:t>
            </w:r>
          </w:p>
        </w:tc>
        <w:tc>
          <w:tcPr>
            <w:tcW w:w="796" w:type="pct"/>
            <w:shd w:val="clear" w:color="auto" w:fill="auto"/>
            <w:noWrap/>
            <w:vAlign w:val="center"/>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3</w:t>
            </w:r>
          </w:p>
        </w:tc>
        <w:tc>
          <w:tcPr>
            <w:tcW w:w="1152" w:type="pct"/>
            <w:shd w:val="clear" w:color="auto" w:fill="auto"/>
            <w:noWrap/>
            <w:vAlign w:val="center"/>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4</w:t>
            </w:r>
          </w:p>
        </w:tc>
        <w:tc>
          <w:tcPr>
            <w:tcW w:w="365" w:type="pct"/>
            <w:shd w:val="clear" w:color="auto" w:fill="auto"/>
            <w:noWrap/>
            <w:vAlign w:val="center"/>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5</w:t>
            </w:r>
          </w:p>
        </w:tc>
      </w:tr>
      <w:tr w:rsidR="00F47116" w:rsidRPr="00F47116" w:rsidTr="0023463D">
        <w:trPr>
          <w:trHeight w:val="308"/>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Общегосударственные вопросы</w:t>
            </w:r>
          </w:p>
        </w:tc>
        <w:tc>
          <w:tcPr>
            <w:tcW w:w="12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436 547,9</w:t>
            </w:r>
          </w:p>
        </w:tc>
        <w:tc>
          <w:tcPr>
            <w:tcW w:w="796" w:type="pct"/>
            <w:tcBorders>
              <w:top w:val="single" w:sz="4" w:space="0" w:color="auto"/>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465 459,5</w:t>
            </w:r>
          </w:p>
        </w:tc>
        <w:tc>
          <w:tcPr>
            <w:tcW w:w="1152" w:type="pct"/>
            <w:tcBorders>
              <w:top w:val="single" w:sz="4" w:space="0" w:color="auto"/>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28 911,6</w:t>
            </w:r>
          </w:p>
        </w:tc>
        <w:tc>
          <w:tcPr>
            <w:tcW w:w="365" w:type="pct"/>
            <w:tcBorders>
              <w:top w:val="single" w:sz="4" w:space="0" w:color="auto"/>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6,6</w:t>
            </w:r>
          </w:p>
        </w:tc>
      </w:tr>
      <w:tr w:rsidR="00F47116" w:rsidRPr="00F47116" w:rsidTr="0023463D">
        <w:trPr>
          <w:trHeight w:val="317"/>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Национальная оборона</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4 903,0</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4 903,0</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r>
      <w:tr w:rsidR="00F47116" w:rsidRPr="00F47116" w:rsidTr="0023463D">
        <w:trPr>
          <w:trHeight w:val="590"/>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Национальная безопасность и правоохранительная деятельность</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56 683,6</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56 684,0</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0,4</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0,001</w:t>
            </w:r>
          </w:p>
        </w:tc>
      </w:tr>
      <w:tr w:rsidR="00F47116" w:rsidRPr="00F47116" w:rsidTr="0023463D">
        <w:trPr>
          <w:trHeight w:val="316"/>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Национальная экономика</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448 445,3</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560 628,0</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112 182,7</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25,0</w:t>
            </w:r>
          </w:p>
        </w:tc>
      </w:tr>
      <w:tr w:rsidR="00F47116" w:rsidRPr="00F47116" w:rsidTr="0023463D">
        <w:trPr>
          <w:trHeight w:val="327"/>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Жилищно-коммунальное хозяйство</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870 996,1</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1 126 034,8</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255 038,7</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29,3</w:t>
            </w:r>
          </w:p>
        </w:tc>
      </w:tr>
      <w:tr w:rsidR="00F47116" w:rsidRPr="00F47116" w:rsidTr="0023463D">
        <w:trPr>
          <w:trHeight w:val="276"/>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Охрана окружающей среды</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56 077,0</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287 742,3</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231 665,3</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413,1</w:t>
            </w:r>
          </w:p>
        </w:tc>
      </w:tr>
      <w:tr w:rsidR="00F47116" w:rsidRPr="00F47116" w:rsidTr="0023463D">
        <w:trPr>
          <w:trHeight w:val="279"/>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Образование</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2 408 506,0</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2 428 980,4</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20 474,4</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0,9</w:t>
            </w:r>
          </w:p>
        </w:tc>
      </w:tr>
      <w:tr w:rsidR="00F47116" w:rsidRPr="00F47116" w:rsidTr="0023463D">
        <w:trPr>
          <w:trHeight w:val="256"/>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Культура и кинематография</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192 909,1</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292 268,5</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99 359,4</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51,5</w:t>
            </w:r>
          </w:p>
        </w:tc>
      </w:tr>
      <w:tr w:rsidR="00F47116" w:rsidRPr="00F47116" w:rsidTr="0023463D">
        <w:trPr>
          <w:trHeight w:val="316"/>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Здравоохранение</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3 618,8</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3 618,8</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r>
      <w:tr w:rsidR="00F47116" w:rsidRPr="00F47116" w:rsidTr="0023463D">
        <w:trPr>
          <w:trHeight w:val="316"/>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Социальная политика</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28 623,3</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29 333,3</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710,0</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2,5</w:t>
            </w:r>
          </w:p>
        </w:tc>
      </w:tr>
      <w:tr w:rsidR="00F47116" w:rsidRPr="00F47116" w:rsidTr="0023463D">
        <w:trPr>
          <w:trHeight w:val="353"/>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Физическая культура и спорт</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95 201,1</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95 201,1</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r>
      <w:tr w:rsidR="00F47116" w:rsidRPr="00F47116" w:rsidTr="0023463D">
        <w:trPr>
          <w:trHeight w:val="259"/>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Средства массовой информации</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16 598,2</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16 598,2</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r>
      <w:tr w:rsidR="00F47116" w:rsidRPr="00F47116" w:rsidTr="0023463D">
        <w:trPr>
          <w:trHeight w:val="485"/>
        </w:trPr>
        <w:tc>
          <w:tcPr>
            <w:tcW w:w="1480" w:type="pct"/>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Обслуживание государственного и муниципального долга</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267,2</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267,2</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r>
      <w:tr w:rsidR="00F47116" w:rsidRPr="00F47116" w:rsidTr="0023463D">
        <w:trPr>
          <w:trHeight w:val="908"/>
        </w:trPr>
        <w:tc>
          <w:tcPr>
            <w:tcW w:w="1480" w:type="pct"/>
            <w:shd w:val="clear" w:color="auto" w:fill="auto"/>
            <w:vAlign w:val="center"/>
            <w:hideMark/>
          </w:tcPr>
          <w:p w:rsidR="00F47116" w:rsidRPr="00F47116" w:rsidRDefault="00F47116" w:rsidP="00F47116">
            <w:pPr>
              <w:spacing w:after="0" w:line="254"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Межбюджетные трансферты бюджетам субъектов Российской Федерации и муниципальных образований общего характера</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54"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361 818,9</w:t>
            </w:r>
          </w:p>
        </w:tc>
        <w:tc>
          <w:tcPr>
            <w:tcW w:w="796"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54"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361 818,9</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54"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54"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0,0</w:t>
            </w:r>
          </w:p>
        </w:tc>
      </w:tr>
      <w:tr w:rsidR="00F47116" w:rsidRPr="00F47116" w:rsidTr="0023463D">
        <w:trPr>
          <w:trHeight w:val="284"/>
        </w:trPr>
        <w:tc>
          <w:tcPr>
            <w:tcW w:w="1480" w:type="pct"/>
            <w:shd w:val="clear" w:color="auto" w:fill="auto"/>
            <w:vAlign w:val="center"/>
            <w:hideMark/>
          </w:tcPr>
          <w:p w:rsidR="00F47116" w:rsidRPr="00F47116" w:rsidRDefault="00F47116" w:rsidP="00F47116">
            <w:pPr>
              <w:spacing w:after="0" w:line="254" w:lineRule="auto"/>
              <w:jc w:val="center"/>
              <w:rPr>
                <w:rFonts w:ascii="Times New Roman" w:eastAsia="Times New Roman" w:hAnsi="Times New Roman" w:cs="Times New Roman"/>
                <w:color w:val="000000"/>
                <w:sz w:val="18"/>
                <w:szCs w:val="18"/>
                <w:lang w:eastAsia="ru-RU"/>
              </w:rPr>
            </w:pPr>
            <w:r w:rsidRPr="00F47116">
              <w:rPr>
                <w:rFonts w:ascii="Times New Roman" w:eastAsia="Times New Roman" w:hAnsi="Times New Roman" w:cs="Times New Roman"/>
                <w:color w:val="000000"/>
                <w:sz w:val="18"/>
                <w:szCs w:val="18"/>
                <w:lang w:eastAsia="ru-RU"/>
              </w:rPr>
              <w:t>ИТОГО РАСХОДОВ</w:t>
            </w:r>
          </w:p>
        </w:tc>
        <w:tc>
          <w:tcPr>
            <w:tcW w:w="1207" w:type="pct"/>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54"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4 981 195,5</w:t>
            </w:r>
          </w:p>
        </w:tc>
        <w:tc>
          <w:tcPr>
            <w:tcW w:w="796" w:type="pct"/>
            <w:tcBorders>
              <w:top w:val="nil"/>
              <w:left w:val="nil"/>
              <w:bottom w:val="single" w:sz="4" w:space="0" w:color="auto"/>
              <w:right w:val="single" w:sz="4" w:space="0" w:color="auto"/>
            </w:tcBorders>
            <w:shd w:val="clear" w:color="auto" w:fill="auto"/>
            <w:vAlign w:val="center"/>
            <w:hideMark/>
          </w:tcPr>
          <w:p w:rsidR="00F47116" w:rsidRPr="00F47116" w:rsidRDefault="00F47116" w:rsidP="00F47116">
            <w:pPr>
              <w:spacing w:after="0" w:line="254"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5 729 538,0</w:t>
            </w:r>
          </w:p>
        </w:tc>
        <w:tc>
          <w:tcPr>
            <w:tcW w:w="1152"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54"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748 342,5</w:t>
            </w:r>
          </w:p>
        </w:tc>
        <w:tc>
          <w:tcPr>
            <w:tcW w:w="365" w:type="pct"/>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54" w:lineRule="auto"/>
              <w:contextualSpacing/>
              <w:jc w:val="center"/>
              <w:rPr>
                <w:rFonts w:ascii="Times New Roman" w:eastAsia="Times New Roman" w:hAnsi="Times New Roman" w:cs="Times New Roman"/>
                <w:color w:val="000000"/>
                <w:sz w:val="18"/>
                <w:szCs w:val="18"/>
                <w:highlight w:val="yellow"/>
                <w:lang w:eastAsia="ru-RU"/>
              </w:rPr>
            </w:pPr>
            <w:r w:rsidRPr="00F47116">
              <w:rPr>
                <w:rFonts w:ascii="Times New Roman" w:eastAsia="Calibri" w:hAnsi="Times New Roman" w:cs="Times New Roman"/>
                <w:color w:val="000000"/>
                <w:sz w:val="18"/>
                <w:szCs w:val="18"/>
              </w:rPr>
              <w:t>15,0</w:t>
            </w:r>
          </w:p>
        </w:tc>
      </w:tr>
    </w:tbl>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Согласно данным представленным в Таблице 2 Проектом решения                        не предусмотрено уменьшение расходов по разделам классификации расходов бюджета.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По сравнению с ранее утвержденными показателями расходы увеличиваются по восьми разделам, в том числе:</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«Охрана окружающей среды» на 413,1 % (в 4 раза) или 231 665,3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«Культура и кинематография» на 51,5 % или 99 359,4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«Жилищно-коммунальное хозяйство» на 29,3 % или 255 038,7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«Национальная экономика» на 25,0 % или 112 182,7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«Общегосударственные вопросы» на 6,6 % или 28 911,6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«Социальная политика» на 2,5 % или 710,0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«Образование» на 0,9 % или 20 474,4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«Национальная безопасность и правоохранительная </w:t>
      </w:r>
      <w:proofErr w:type="gramStart"/>
      <w:r w:rsidRPr="00F47116">
        <w:rPr>
          <w:rFonts w:ascii="Times New Roman" w:eastAsia="Calibri" w:hAnsi="Times New Roman" w:cs="Times New Roman"/>
          <w:sz w:val="28"/>
          <w:szCs w:val="28"/>
        </w:rPr>
        <w:t xml:space="preserve">деятельность»   </w:t>
      </w:r>
      <w:proofErr w:type="gramEnd"/>
      <w:r w:rsidRPr="00F47116">
        <w:rPr>
          <w:rFonts w:ascii="Times New Roman" w:eastAsia="Calibri" w:hAnsi="Times New Roman" w:cs="Times New Roman"/>
          <w:sz w:val="28"/>
          <w:szCs w:val="28"/>
        </w:rPr>
        <w:t xml:space="preserve">                     на 0,4 тыс. рублей или 0,001 %.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Не корректируются расходы по шести разделам - «Национальная оборона», «Здравоохранение», «Физическая культура и спорт», «Средства массовой информации», «Обслуживание государственного и муниципального </w:t>
      </w:r>
      <w:r w:rsidRPr="00F47116">
        <w:rPr>
          <w:rFonts w:ascii="Times New Roman" w:eastAsia="Calibri" w:hAnsi="Times New Roman" w:cs="Times New Roman"/>
          <w:sz w:val="28"/>
          <w:szCs w:val="28"/>
        </w:rPr>
        <w:lastRenderedPageBreak/>
        <w:t>долга», «Межбюджетные трансферты бюджетам субъектов Российской Федерации                          и муниципальных образований общего характера».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Распределение бюджетных ассигнований в разрезе главных распорядителей бюджетных средств Ханты-Мансийского района представлено в пояснительной записке к Проекту решения.</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В рамках, предлагаемых Проектом решения изменений расходы бюджета                              Ханты-Мансийского района на реализацию мероприятий муниципальных программ в целом, увеличиваются на 747 642,5 тыс. рублей или 15,2 % от ранее утвержденного объема (4 922 380,8 тыс. рублей) и составят                                    5 670 023,3 тыс. рублей или 99,0 % в общем объеме расходов бюджета муниципального района.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Анализ изменений в части финансового обеспечения реализации муниципальных программ, включая долю расходов каждой муниципальной программы в общем объеме расходов бюджета, представлены в Таблице 3.</w:t>
      </w:r>
    </w:p>
    <w:p w:rsidR="00F47116" w:rsidRPr="00F47116" w:rsidRDefault="00F47116" w:rsidP="00F47116">
      <w:pPr>
        <w:spacing w:after="0" w:line="240" w:lineRule="auto"/>
        <w:ind w:firstLine="709"/>
        <w:contextualSpacing/>
        <w:jc w:val="right"/>
        <w:rPr>
          <w:rFonts w:ascii="Times New Roman" w:eastAsia="Times New Roman" w:hAnsi="Times New Roman" w:cs="Times New Roman"/>
          <w:sz w:val="24"/>
          <w:szCs w:val="24"/>
          <w:lang w:eastAsia="ru-RU"/>
        </w:rPr>
      </w:pPr>
      <w:r w:rsidRPr="00F47116">
        <w:rPr>
          <w:rFonts w:ascii="Times New Roman" w:eastAsia="Times New Roman" w:hAnsi="Times New Roman" w:cs="Times New Roman"/>
          <w:sz w:val="24"/>
          <w:szCs w:val="24"/>
          <w:lang w:eastAsia="ru-RU"/>
        </w:rPr>
        <w:t xml:space="preserve">  Таблица 3</w:t>
      </w:r>
    </w:p>
    <w:p w:rsidR="00F47116" w:rsidRPr="00F47116" w:rsidRDefault="00F47116" w:rsidP="00F47116">
      <w:pPr>
        <w:spacing w:after="0" w:line="240" w:lineRule="auto"/>
        <w:ind w:firstLine="709"/>
        <w:contextualSpacing/>
        <w:jc w:val="right"/>
        <w:rPr>
          <w:rFonts w:ascii="Times New Roman" w:eastAsia="Times New Roman" w:hAnsi="Times New Roman" w:cs="Times New Roman"/>
          <w:sz w:val="24"/>
          <w:szCs w:val="24"/>
          <w:lang w:eastAsia="ru-RU"/>
        </w:rPr>
      </w:pPr>
      <w:r w:rsidRPr="00F47116">
        <w:rPr>
          <w:rFonts w:ascii="Times New Roman" w:eastAsia="Times New Roman" w:hAnsi="Times New Roman" w:cs="Times New Roman"/>
          <w:sz w:val="24"/>
          <w:szCs w:val="24"/>
          <w:lang w:eastAsia="ru-RU"/>
        </w:rPr>
        <w:t xml:space="preserve"> (тыс. рублей)</w:t>
      </w:r>
    </w:p>
    <w:tbl>
      <w:tblPr>
        <w:tblW w:w="10267" w:type="dxa"/>
        <w:tblLayout w:type="fixed"/>
        <w:tblLook w:val="04A0" w:firstRow="1" w:lastRow="0" w:firstColumn="1" w:lastColumn="0" w:noHBand="0" w:noVBand="1"/>
      </w:tblPr>
      <w:tblGrid>
        <w:gridCol w:w="431"/>
        <w:gridCol w:w="3363"/>
        <w:gridCol w:w="1276"/>
        <w:gridCol w:w="1275"/>
        <w:gridCol w:w="993"/>
        <w:gridCol w:w="992"/>
        <w:gridCol w:w="992"/>
        <w:gridCol w:w="709"/>
        <w:gridCol w:w="236"/>
      </w:tblGrid>
      <w:tr w:rsidR="00F47116" w:rsidRPr="00F47116" w:rsidTr="0023463D">
        <w:trPr>
          <w:gridAfter w:val="1"/>
          <w:wAfter w:w="236" w:type="dxa"/>
          <w:trHeight w:val="352"/>
        </w:trPr>
        <w:tc>
          <w:tcPr>
            <w:tcW w:w="431" w:type="dxa"/>
            <w:vMerge w:val="restart"/>
            <w:tcBorders>
              <w:top w:val="single" w:sz="4" w:space="0" w:color="auto"/>
              <w:left w:val="single" w:sz="4" w:space="0" w:color="auto"/>
              <w:bottom w:val="nil"/>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w:t>
            </w:r>
          </w:p>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п/п</w:t>
            </w:r>
          </w:p>
        </w:tc>
        <w:tc>
          <w:tcPr>
            <w:tcW w:w="3363" w:type="dxa"/>
            <w:vMerge w:val="restart"/>
            <w:tcBorders>
              <w:top w:val="single" w:sz="4" w:space="0" w:color="auto"/>
              <w:left w:val="single" w:sz="4" w:space="0" w:color="auto"/>
              <w:bottom w:val="nil"/>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Наименование</w:t>
            </w:r>
          </w:p>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муниципальной программы</w:t>
            </w:r>
          </w:p>
        </w:tc>
        <w:tc>
          <w:tcPr>
            <w:tcW w:w="25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Решение Думы                                             от 15.12.2023 № 391</w:t>
            </w:r>
          </w:p>
        </w:tc>
        <w:tc>
          <w:tcPr>
            <w:tcW w:w="1985" w:type="dxa"/>
            <w:gridSpan w:val="2"/>
            <w:tcBorders>
              <w:top w:val="single" w:sz="4" w:space="0" w:color="auto"/>
              <w:left w:val="nil"/>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Проект решения</w:t>
            </w:r>
          </w:p>
        </w:tc>
        <w:tc>
          <w:tcPr>
            <w:tcW w:w="1701" w:type="dxa"/>
            <w:gridSpan w:val="2"/>
            <w:tcBorders>
              <w:top w:val="single" w:sz="4" w:space="0" w:color="auto"/>
              <w:left w:val="nil"/>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Отклонение</w:t>
            </w:r>
          </w:p>
        </w:tc>
      </w:tr>
      <w:tr w:rsidR="00F47116" w:rsidRPr="00F47116" w:rsidTr="0023463D">
        <w:trPr>
          <w:gridAfter w:val="1"/>
          <w:wAfter w:w="236" w:type="dxa"/>
          <w:trHeight w:val="922"/>
        </w:trPr>
        <w:tc>
          <w:tcPr>
            <w:tcW w:w="431" w:type="dxa"/>
            <w:vMerge/>
            <w:tcBorders>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p>
        </w:tc>
        <w:tc>
          <w:tcPr>
            <w:tcW w:w="3363" w:type="dxa"/>
            <w:vMerge/>
            <w:tcBorders>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200" w:line="276"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тыс. рублей</w:t>
            </w:r>
          </w:p>
        </w:tc>
        <w:tc>
          <w:tcPr>
            <w:tcW w:w="1275"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доля в общем объеме расходов бюджета, %</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200" w:line="276"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тыс. рублей</w:t>
            </w:r>
          </w:p>
        </w:tc>
        <w:tc>
          <w:tcPr>
            <w:tcW w:w="992" w:type="dxa"/>
            <w:tcBorders>
              <w:top w:val="single" w:sz="4" w:space="0" w:color="auto"/>
              <w:left w:val="nil"/>
              <w:bottom w:val="single" w:sz="4" w:space="0" w:color="auto"/>
              <w:right w:val="single" w:sz="4" w:space="0" w:color="auto"/>
            </w:tcBorders>
            <w:vAlign w:val="center"/>
          </w:tcPr>
          <w:p w:rsidR="00F47116" w:rsidRPr="00F47116" w:rsidRDefault="00F47116" w:rsidP="00F47116">
            <w:pPr>
              <w:spacing w:after="200" w:line="276"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доля в общем объеме расходов бюджета,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200" w:line="276"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тыс. рублей</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w:t>
            </w:r>
          </w:p>
        </w:tc>
      </w:tr>
      <w:tr w:rsidR="00F47116" w:rsidRPr="00F47116" w:rsidTr="0023463D">
        <w:trPr>
          <w:gridAfter w:val="1"/>
          <w:wAfter w:w="236" w:type="dxa"/>
          <w:trHeight w:val="44"/>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1</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2</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3</w:t>
            </w:r>
          </w:p>
        </w:tc>
        <w:tc>
          <w:tcPr>
            <w:tcW w:w="1275"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5</w:t>
            </w:r>
          </w:p>
        </w:tc>
        <w:tc>
          <w:tcPr>
            <w:tcW w:w="992" w:type="dxa"/>
            <w:tcBorders>
              <w:top w:val="single" w:sz="4" w:space="0" w:color="auto"/>
              <w:left w:val="nil"/>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7</w:t>
            </w:r>
          </w:p>
        </w:tc>
        <w:tc>
          <w:tcPr>
            <w:tcW w:w="709" w:type="dxa"/>
            <w:tcBorders>
              <w:top w:val="single" w:sz="4" w:space="0" w:color="auto"/>
              <w:left w:val="nil"/>
              <w:bottom w:val="single" w:sz="4" w:space="0" w:color="auto"/>
              <w:right w:val="single" w:sz="4" w:space="0" w:color="auto"/>
            </w:tcBorders>
            <w:shd w:val="clear" w:color="auto" w:fill="auto"/>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8</w:t>
            </w:r>
          </w:p>
        </w:tc>
      </w:tr>
      <w:tr w:rsidR="00F47116" w:rsidRPr="00F47116" w:rsidTr="0023463D">
        <w:trPr>
          <w:gridAfter w:val="1"/>
          <w:wAfter w:w="236" w:type="dxa"/>
          <w:trHeight w:val="441"/>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«Развитие образования в Ханты-Мансийском районе»</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2 352 383,7  </w:t>
            </w:r>
          </w:p>
        </w:tc>
        <w:tc>
          <w:tcPr>
            <w:tcW w:w="1275"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47,2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2 372 358,1</w:t>
            </w:r>
          </w:p>
        </w:tc>
        <w:tc>
          <w:tcPr>
            <w:tcW w:w="992"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41,4</w:t>
            </w:r>
          </w:p>
        </w:tc>
        <w:tc>
          <w:tcPr>
            <w:tcW w:w="992" w:type="dxa"/>
            <w:tcBorders>
              <w:top w:val="single" w:sz="4" w:space="0" w:color="auto"/>
              <w:left w:val="single" w:sz="4" w:space="0" w:color="auto"/>
              <w:bottom w:val="single" w:sz="4" w:space="0" w:color="auto"/>
              <w:right w:val="nil"/>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19 974,4</w:t>
            </w:r>
          </w:p>
        </w:tc>
        <w:tc>
          <w:tcPr>
            <w:tcW w:w="709" w:type="dxa"/>
            <w:tcBorders>
              <w:top w:val="nil"/>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0,8</w:t>
            </w:r>
          </w:p>
        </w:tc>
      </w:tr>
      <w:tr w:rsidR="00F47116" w:rsidRPr="00F47116" w:rsidTr="0023463D">
        <w:trPr>
          <w:gridAfter w:val="1"/>
          <w:wAfter w:w="236" w:type="dxa"/>
          <w:trHeight w:val="405"/>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2</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«Культура Ханты-Мансийского района»</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173 276,2  </w:t>
            </w:r>
          </w:p>
        </w:tc>
        <w:tc>
          <w:tcPr>
            <w:tcW w:w="1275"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3,5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272 435,6</w:t>
            </w:r>
          </w:p>
        </w:tc>
        <w:tc>
          <w:tcPr>
            <w:tcW w:w="992"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4,8</w:t>
            </w:r>
          </w:p>
        </w:tc>
        <w:tc>
          <w:tcPr>
            <w:tcW w:w="992" w:type="dxa"/>
            <w:tcBorders>
              <w:top w:val="single" w:sz="4" w:space="0" w:color="auto"/>
              <w:left w:val="single" w:sz="4" w:space="0" w:color="auto"/>
              <w:bottom w:val="single" w:sz="4" w:space="0" w:color="auto"/>
              <w:right w:val="nil"/>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99 159,4</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57,2</w:t>
            </w:r>
          </w:p>
        </w:tc>
      </w:tr>
      <w:tr w:rsidR="00F47116" w:rsidRPr="00F47116" w:rsidTr="0023463D">
        <w:trPr>
          <w:gridAfter w:val="1"/>
          <w:wAfter w:w="236" w:type="dxa"/>
          <w:trHeight w:val="360"/>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3</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«Развитие спорта и туризма на территории Ханты-Мансийского района»</w:t>
            </w:r>
          </w:p>
        </w:tc>
        <w:tc>
          <w:tcPr>
            <w:tcW w:w="1276"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141 291,0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2,8</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141 291,0</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2,5</w:t>
            </w:r>
          </w:p>
        </w:tc>
        <w:tc>
          <w:tcPr>
            <w:tcW w:w="992" w:type="dxa"/>
            <w:tcBorders>
              <w:top w:val="single" w:sz="4" w:space="0" w:color="auto"/>
              <w:left w:val="single" w:sz="4" w:space="0" w:color="auto"/>
              <w:bottom w:val="single" w:sz="4" w:space="0" w:color="auto"/>
              <w:right w:val="nil"/>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c>
          <w:tcPr>
            <w:tcW w:w="709" w:type="dxa"/>
            <w:tcBorders>
              <w:top w:val="nil"/>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r>
      <w:tr w:rsidR="00F47116" w:rsidRPr="00F47116" w:rsidTr="0023463D">
        <w:trPr>
          <w:gridAfter w:val="1"/>
          <w:wAfter w:w="236" w:type="dxa"/>
          <w:trHeight w:val="528"/>
        </w:trPr>
        <w:tc>
          <w:tcPr>
            <w:tcW w:w="431" w:type="dxa"/>
            <w:tcBorders>
              <w:top w:val="nil"/>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4</w:t>
            </w:r>
          </w:p>
        </w:tc>
        <w:tc>
          <w:tcPr>
            <w:tcW w:w="3363"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«Содействие занятости населения Ханты-Мансийского района»</w:t>
            </w:r>
          </w:p>
        </w:tc>
        <w:tc>
          <w:tcPr>
            <w:tcW w:w="1276"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50 456,6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57 956,6</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7 500,0</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14,9</w:t>
            </w:r>
          </w:p>
        </w:tc>
      </w:tr>
      <w:tr w:rsidR="00F47116" w:rsidRPr="00F47116" w:rsidTr="0023463D">
        <w:trPr>
          <w:gridAfter w:val="1"/>
          <w:wAfter w:w="236" w:type="dxa"/>
          <w:trHeight w:val="528"/>
        </w:trPr>
        <w:tc>
          <w:tcPr>
            <w:tcW w:w="431" w:type="dxa"/>
            <w:tcBorders>
              <w:top w:val="nil"/>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5</w:t>
            </w:r>
          </w:p>
        </w:tc>
        <w:tc>
          <w:tcPr>
            <w:tcW w:w="3363"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«Развитие агропромышленного комплекса Ханты-Мансийского»</w:t>
            </w:r>
          </w:p>
        </w:tc>
        <w:tc>
          <w:tcPr>
            <w:tcW w:w="1276"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116 140,7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116 140,7</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r>
      <w:tr w:rsidR="00F47116" w:rsidRPr="00F47116" w:rsidTr="0023463D">
        <w:trPr>
          <w:gridAfter w:val="1"/>
          <w:wAfter w:w="236" w:type="dxa"/>
          <w:trHeight w:val="528"/>
        </w:trPr>
        <w:tc>
          <w:tcPr>
            <w:tcW w:w="431" w:type="dxa"/>
            <w:tcBorders>
              <w:top w:val="nil"/>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6</w:t>
            </w:r>
          </w:p>
        </w:tc>
        <w:tc>
          <w:tcPr>
            <w:tcW w:w="3363"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«Улучшение жилищных условий жителей Ханты-Мансийского района»</w:t>
            </w:r>
          </w:p>
        </w:tc>
        <w:tc>
          <w:tcPr>
            <w:tcW w:w="1276"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250 703,5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5,0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250 703,5</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r>
      <w:tr w:rsidR="00F47116" w:rsidRPr="00F47116" w:rsidTr="0023463D">
        <w:trPr>
          <w:gridAfter w:val="1"/>
          <w:wAfter w:w="236" w:type="dxa"/>
          <w:trHeight w:val="528"/>
        </w:trPr>
        <w:tc>
          <w:tcPr>
            <w:tcW w:w="431" w:type="dxa"/>
            <w:tcBorders>
              <w:top w:val="nil"/>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7</w:t>
            </w:r>
          </w:p>
        </w:tc>
        <w:tc>
          <w:tcPr>
            <w:tcW w:w="3363"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«Развитие и модернизация жилищно-коммунального комплекса и повышение энергетической эффективности в Ханты-Мансийском районе»</w:t>
            </w:r>
          </w:p>
        </w:tc>
        <w:tc>
          <w:tcPr>
            <w:tcW w:w="1276"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712 948,9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14,3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923 527,5</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16,1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210 578,6</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29,5</w:t>
            </w:r>
          </w:p>
        </w:tc>
      </w:tr>
      <w:tr w:rsidR="00F47116" w:rsidRPr="00F47116" w:rsidTr="0023463D">
        <w:trPr>
          <w:gridAfter w:val="1"/>
          <w:wAfter w:w="236" w:type="dxa"/>
          <w:trHeight w:val="792"/>
        </w:trPr>
        <w:tc>
          <w:tcPr>
            <w:tcW w:w="431" w:type="dxa"/>
            <w:tcBorders>
              <w:top w:val="nil"/>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8</w:t>
            </w:r>
          </w:p>
        </w:tc>
        <w:tc>
          <w:tcPr>
            <w:tcW w:w="3363"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«Профилактика правонарушений в сфере обеспечения общественной безопасности в Ханты-Мансийском районе»</w:t>
            </w:r>
          </w:p>
        </w:tc>
        <w:tc>
          <w:tcPr>
            <w:tcW w:w="1276"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4 317,1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0,09</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4 317,1</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r>
      <w:tr w:rsidR="00F47116" w:rsidRPr="00F47116" w:rsidTr="0023463D">
        <w:trPr>
          <w:gridAfter w:val="1"/>
          <w:wAfter w:w="236" w:type="dxa"/>
          <w:trHeight w:val="675"/>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9</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«Укрепление 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1 490,6  </w:t>
            </w:r>
          </w:p>
        </w:tc>
        <w:tc>
          <w:tcPr>
            <w:tcW w:w="1275"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1 490,6</w:t>
            </w:r>
          </w:p>
        </w:tc>
        <w:tc>
          <w:tcPr>
            <w:tcW w:w="992"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r>
      <w:tr w:rsidR="00F47116" w:rsidRPr="00F47116" w:rsidTr="0023463D">
        <w:trPr>
          <w:gridAfter w:val="1"/>
          <w:wAfter w:w="236" w:type="dxa"/>
          <w:trHeight w:val="130"/>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10</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«Безопасность жизнедеятельности в Ханты-Мансийском районе»</w:t>
            </w:r>
          </w:p>
        </w:tc>
        <w:tc>
          <w:tcPr>
            <w:tcW w:w="1276"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48 891,9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48 892,2</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0,3</w:t>
            </w:r>
          </w:p>
        </w:tc>
        <w:tc>
          <w:tcPr>
            <w:tcW w:w="709"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0,001</w:t>
            </w:r>
          </w:p>
        </w:tc>
      </w:tr>
      <w:tr w:rsidR="00F47116" w:rsidRPr="00F47116" w:rsidTr="0023463D">
        <w:trPr>
          <w:gridAfter w:val="1"/>
          <w:wAfter w:w="236" w:type="dxa"/>
          <w:trHeight w:val="528"/>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11</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«Обеспечение экологической безопасности Ханты-Мансийского района»</w:t>
            </w:r>
          </w:p>
        </w:tc>
        <w:tc>
          <w:tcPr>
            <w:tcW w:w="1276"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56 077,0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287 742,3</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5,0</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231 665,3</w:t>
            </w:r>
          </w:p>
        </w:tc>
        <w:tc>
          <w:tcPr>
            <w:tcW w:w="709"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413,1</w:t>
            </w:r>
          </w:p>
        </w:tc>
      </w:tr>
      <w:tr w:rsidR="00F47116" w:rsidRPr="00F47116" w:rsidTr="0023463D">
        <w:trPr>
          <w:gridAfter w:val="1"/>
          <w:wAfter w:w="236" w:type="dxa"/>
          <w:trHeight w:val="528"/>
        </w:trPr>
        <w:tc>
          <w:tcPr>
            <w:tcW w:w="431" w:type="dxa"/>
            <w:tcBorders>
              <w:top w:val="nil"/>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12</w:t>
            </w:r>
          </w:p>
        </w:tc>
        <w:tc>
          <w:tcPr>
            <w:tcW w:w="3363"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«Развитие малого и среднего предпринимательства на территории Ханты-Мансийского района»</w:t>
            </w:r>
          </w:p>
        </w:tc>
        <w:tc>
          <w:tcPr>
            <w:tcW w:w="1276"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6 464,8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6 464,8</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r>
      <w:tr w:rsidR="00F47116" w:rsidRPr="00F47116" w:rsidTr="0023463D">
        <w:trPr>
          <w:gridAfter w:val="1"/>
          <w:wAfter w:w="236" w:type="dxa"/>
          <w:trHeight w:val="528"/>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lastRenderedPageBreak/>
              <w:t>13</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«Развитие цифрового общества Ханты-Мансийского района»</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4 749,6  </w:t>
            </w:r>
          </w:p>
        </w:tc>
        <w:tc>
          <w:tcPr>
            <w:tcW w:w="1275"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4 749,6</w:t>
            </w:r>
          </w:p>
        </w:tc>
        <w:tc>
          <w:tcPr>
            <w:tcW w:w="992"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r>
      <w:tr w:rsidR="00F47116" w:rsidRPr="00F47116" w:rsidTr="0023463D">
        <w:trPr>
          <w:gridAfter w:val="1"/>
          <w:wAfter w:w="236" w:type="dxa"/>
          <w:trHeight w:val="528"/>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14</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«Комплексное развитие транспортной системы на территории Ханты-Мансийского района»</w:t>
            </w:r>
          </w:p>
        </w:tc>
        <w:tc>
          <w:tcPr>
            <w:tcW w:w="1276"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106 447,4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236 231,1</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129 783,7</w:t>
            </w:r>
          </w:p>
        </w:tc>
        <w:tc>
          <w:tcPr>
            <w:tcW w:w="709"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121,9</w:t>
            </w:r>
          </w:p>
        </w:tc>
      </w:tr>
      <w:tr w:rsidR="00F47116" w:rsidRPr="00F47116" w:rsidTr="0023463D">
        <w:trPr>
          <w:gridAfter w:val="1"/>
          <w:wAfter w:w="236" w:type="dxa"/>
          <w:trHeight w:val="528"/>
        </w:trPr>
        <w:tc>
          <w:tcPr>
            <w:tcW w:w="431" w:type="dxa"/>
            <w:tcBorders>
              <w:top w:val="nil"/>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15</w:t>
            </w:r>
          </w:p>
        </w:tc>
        <w:tc>
          <w:tcPr>
            <w:tcW w:w="3363"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«Создание условий для ответственного управления муниципальными финансами, повышения устойчивости местных бюджетов Ханты-Мансийского района»</w:t>
            </w:r>
          </w:p>
        </w:tc>
        <w:tc>
          <w:tcPr>
            <w:tcW w:w="1276"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423 528,9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8,5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423 528,9</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7,4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r>
      <w:tr w:rsidR="00F47116" w:rsidRPr="00F47116" w:rsidTr="0023463D">
        <w:trPr>
          <w:gridAfter w:val="1"/>
          <w:wAfter w:w="236" w:type="dxa"/>
          <w:trHeight w:val="416"/>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16</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«Развитие гражданского общества Ханты-Мансийского района»</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18 853,3  </w:t>
            </w:r>
          </w:p>
        </w:tc>
        <w:tc>
          <w:tcPr>
            <w:tcW w:w="1275"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19 563,3</w:t>
            </w:r>
          </w:p>
        </w:tc>
        <w:tc>
          <w:tcPr>
            <w:tcW w:w="992"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710,0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3,8</w:t>
            </w:r>
          </w:p>
        </w:tc>
      </w:tr>
      <w:tr w:rsidR="00F47116" w:rsidRPr="00F47116" w:rsidTr="0023463D">
        <w:trPr>
          <w:gridAfter w:val="1"/>
          <w:wAfter w:w="236" w:type="dxa"/>
          <w:trHeight w:val="528"/>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17</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«Формирование и развитие муниципального имущества Ханты-Мансийского района»</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47 770,5  </w:t>
            </w:r>
          </w:p>
        </w:tc>
        <w:tc>
          <w:tcPr>
            <w:tcW w:w="1275"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61 361,2</w:t>
            </w:r>
          </w:p>
        </w:tc>
        <w:tc>
          <w:tcPr>
            <w:tcW w:w="992"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13 590,7</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28,4</w:t>
            </w:r>
          </w:p>
        </w:tc>
      </w:tr>
      <w:tr w:rsidR="00F47116" w:rsidRPr="00F47116" w:rsidTr="0023463D">
        <w:trPr>
          <w:gridAfter w:val="1"/>
          <w:wAfter w:w="236" w:type="dxa"/>
          <w:trHeight w:val="528"/>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18</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«Повышение эффективности муниципального управления Ханты-Мансийского района»</w:t>
            </w:r>
          </w:p>
        </w:tc>
        <w:tc>
          <w:tcPr>
            <w:tcW w:w="1276"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379 076,3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7,6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380 787,8</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6,6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1 711,5</w:t>
            </w:r>
          </w:p>
        </w:tc>
        <w:tc>
          <w:tcPr>
            <w:tcW w:w="709"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0,5</w:t>
            </w:r>
          </w:p>
        </w:tc>
      </w:tr>
      <w:tr w:rsidR="00F47116" w:rsidRPr="00F47116" w:rsidTr="0023463D">
        <w:trPr>
          <w:gridAfter w:val="1"/>
          <w:wAfter w:w="236" w:type="dxa"/>
          <w:trHeight w:val="528"/>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19</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«Подготовка перспективных территорий для развития жилищного строительства Ханты-Мансийского района»</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14 861,3  </w:t>
            </w:r>
          </w:p>
        </w:tc>
        <w:tc>
          <w:tcPr>
            <w:tcW w:w="1275"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0,3</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16 960,4</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2 099,1</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14,1</w:t>
            </w:r>
          </w:p>
        </w:tc>
      </w:tr>
      <w:tr w:rsidR="00F47116" w:rsidRPr="00F47116" w:rsidTr="0023463D">
        <w:trPr>
          <w:gridAfter w:val="1"/>
          <w:wAfter w:w="236" w:type="dxa"/>
          <w:trHeight w:val="528"/>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20</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«Устойчивое развитие коренных малочисленных народов Севера на территории Ханты-Мансийского района»</w:t>
            </w:r>
          </w:p>
        </w:tc>
        <w:tc>
          <w:tcPr>
            <w:tcW w:w="1276"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5 019,6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5 019,6</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0,0</w:t>
            </w:r>
          </w:p>
        </w:tc>
      </w:tr>
      <w:tr w:rsidR="00F47116" w:rsidRPr="00F47116" w:rsidTr="0023463D">
        <w:trPr>
          <w:gridAfter w:val="1"/>
          <w:wAfter w:w="236" w:type="dxa"/>
          <w:trHeight w:val="528"/>
        </w:trPr>
        <w:tc>
          <w:tcPr>
            <w:tcW w:w="431" w:type="dxa"/>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21</w:t>
            </w:r>
          </w:p>
        </w:tc>
        <w:tc>
          <w:tcPr>
            <w:tcW w:w="33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rPr>
                <w:rFonts w:ascii="Times New Roman" w:eastAsia="Calibri" w:hAnsi="Times New Roman" w:cs="Times New Roman"/>
                <w:bCs/>
                <w:sz w:val="15"/>
                <w:szCs w:val="15"/>
                <w:lang w:eastAsia="ru-RU"/>
              </w:rPr>
            </w:pPr>
            <w:r w:rsidRPr="00F47116">
              <w:rPr>
                <w:rFonts w:ascii="Times New Roman" w:eastAsia="Calibri" w:hAnsi="Times New Roman" w:cs="Times New Roman"/>
                <w:bCs/>
                <w:sz w:val="15"/>
                <w:szCs w:val="15"/>
                <w:lang w:eastAsia="ru-RU"/>
              </w:rPr>
              <w:t>«Благоустройство населенных пунктов Ханты-Мансийского района»</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 xml:space="preserve">7 631,9  </w:t>
            </w:r>
          </w:p>
        </w:tc>
        <w:tc>
          <w:tcPr>
            <w:tcW w:w="1275"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38 501,4</w:t>
            </w:r>
          </w:p>
        </w:tc>
        <w:tc>
          <w:tcPr>
            <w:tcW w:w="992" w:type="dxa"/>
            <w:tcBorders>
              <w:top w:val="single" w:sz="4" w:space="0" w:color="auto"/>
              <w:left w:val="single" w:sz="4" w:space="0" w:color="auto"/>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0,7</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30 869,5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Cs/>
                <w:sz w:val="16"/>
                <w:szCs w:val="16"/>
                <w:highlight w:val="yellow"/>
                <w:lang w:eastAsia="ru-RU"/>
              </w:rPr>
            </w:pPr>
            <w:r w:rsidRPr="00F47116">
              <w:rPr>
                <w:rFonts w:ascii="Times New Roman" w:eastAsia="Calibri" w:hAnsi="Times New Roman" w:cs="Times New Roman"/>
                <w:sz w:val="16"/>
                <w:szCs w:val="16"/>
              </w:rPr>
              <w:t>404,5</w:t>
            </w:r>
          </w:p>
        </w:tc>
      </w:tr>
      <w:tr w:rsidR="00F47116" w:rsidRPr="00F47116" w:rsidTr="0023463D">
        <w:trPr>
          <w:trHeight w:val="308"/>
        </w:trPr>
        <w:tc>
          <w:tcPr>
            <w:tcW w:w="3794" w:type="dxa"/>
            <w:gridSpan w:val="2"/>
            <w:tcBorders>
              <w:top w:val="single" w:sz="4" w:space="0" w:color="auto"/>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ИТОГО программные расходы</w:t>
            </w:r>
          </w:p>
        </w:tc>
        <w:tc>
          <w:tcPr>
            <w:tcW w:w="1276"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 xml:space="preserve">4 922 380,8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98,8</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 xml:space="preserve">5 670 023,3  </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 xml:space="preserve">99,0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747 642,5</w:t>
            </w:r>
          </w:p>
        </w:tc>
        <w:tc>
          <w:tcPr>
            <w:tcW w:w="709" w:type="dxa"/>
            <w:tcBorders>
              <w:top w:val="single" w:sz="4" w:space="0" w:color="auto"/>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15,2</w:t>
            </w:r>
          </w:p>
        </w:tc>
        <w:tc>
          <w:tcPr>
            <w:tcW w:w="236" w:type="dxa"/>
            <w:vAlign w:val="center"/>
          </w:tcPr>
          <w:p w:rsidR="00F47116" w:rsidRPr="00F47116" w:rsidRDefault="00F47116" w:rsidP="00F47116">
            <w:pPr>
              <w:spacing w:after="200" w:line="276" w:lineRule="auto"/>
              <w:jc w:val="center"/>
              <w:rPr>
                <w:rFonts w:ascii="Calibri" w:eastAsia="Calibri" w:hAnsi="Calibri" w:cs="Times New Roman"/>
                <w:color w:val="000000"/>
                <w:sz w:val="20"/>
                <w:szCs w:val="20"/>
                <w:highlight w:val="yellow"/>
              </w:rPr>
            </w:pPr>
          </w:p>
        </w:tc>
      </w:tr>
      <w:tr w:rsidR="00F47116" w:rsidRPr="00F47116" w:rsidTr="0023463D">
        <w:trPr>
          <w:trHeight w:val="386"/>
        </w:trPr>
        <w:tc>
          <w:tcPr>
            <w:tcW w:w="3794" w:type="dxa"/>
            <w:gridSpan w:val="2"/>
            <w:tcBorders>
              <w:top w:val="nil"/>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РАСХОДЫ ВСЕГО</w:t>
            </w:r>
          </w:p>
        </w:tc>
        <w:tc>
          <w:tcPr>
            <w:tcW w:w="1276"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 xml:space="preserve">4 981 195,5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 xml:space="preserve">5 729 538,0  </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 xml:space="preserve">100,0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748 342,5</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15,0</w:t>
            </w:r>
          </w:p>
        </w:tc>
        <w:tc>
          <w:tcPr>
            <w:tcW w:w="236" w:type="dxa"/>
            <w:vAlign w:val="center"/>
          </w:tcPr>
          <w:p w:rsidR="00F47116" w:rsidRPr="00F47116" w:rsidRDefault="00F47116" w:rsidP="00F47116">
            <w:pPr>
              <w:spacing w:after="200" w:line="276" w:lineRule="auto"/>
              <w:jc w:val="center"/>
              <w:rPr>
                <w:rFonts w:ascii="Calibri" w:eastAsia="Calibri" w:hAnsi="Calibri" w:cs="Times New Roman"/>
                <w:color w:val="000000"/>
                <w:sz w:val="20"/>
                <w:szCs w:val="20"/>
                <w:highlight w:val="yellow"/>
              </w:rPr>
            </w:pPr>
          </w:p>
        </w:tc>
      </w:tr>
      <w:tr w:rsidR="00F47116" w:rsidRPr="00F47116" w:rsidTr="0023463D">
        <w:trPr>
          <w:trHeight w:val="226"/>
        </w:trPr>
        <w:tc>
          <w:tcPr>
            <w:tcW w:w="3794" w:type="dxa"/>
            <w:gridSpan w:val="2"/>
            <w:tcBorders>
              <w:top w:val="nil"/>
              <w:left w:val="single" w:sz="4" w:space="0" w:color="auto"/>
              <w:bottom w:val="single" w:sz="4" w:space="0" w:color="auto"/>
              <w:right w:val="single" w:sz="4" w:space="0" w:color="auto"/>
            </w:tcBorders>
            <w:vAlign w:val="center"/>
          </w:tcPr>
          <w:p w:rsidR="00F47116" w:rsidRPr="00F47116" w:rsidRDefault="00F47116" w:rsidP="00F47116">
            <w:pPr>
              <w:spacing w:after="0" w:line="240" w:lineRule="auto"/>
              <w:jc w:val="center"/>
              <w:rPr>
                <w:rFonts w:ascii="Times New Roman" w:eastAsia="Calibri" w:hAnsi="Times New Roman" w:cs="Times New Roman"/>
                <w:b/>
                <w:bCs/>
                <w:sz w:val="15"/>
                <w:szCs w:val="15"/>
                <w:lang w:eastAsia="ru-RU"/>
              </w:rPr>
            </w:pPr>
            <w:r w:rsidRPr="00F47116">
              <w:rPr>
                <w:rFonts w:ascii="Times New Roman" w:eastAsia="Calibri" w:hAnsi="Times New Roman" w:cs="Times New Roman"/>
                <w:b/>
                <w:bCs/>
                <w:sz w:val="15"/>
                <w:szCs w:val="15"/>
                <w:lang w:eastAsia="ru-RU"/>
              </w:rPr>
              <w:t>Непрограммные расходы</w:t>
            </w:r>
          </w:p>
        </w:tc>
        <w:tc>
          <w:tcPr>
            <w:tcW w:w="1276"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 xml:space="preserve">58 814,7  </w:t>
            </w:r>
          </w:p>
        </w:tc>
        <w:tc>
          <w:tcPr>
            <w:tcW w:w="1275"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1,2</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 xml:space="preserve">59 514,7  </w:t>
            </w:r>
          </w:p>
        </w:tc>
        <w:tc>
          <w:tcPr>
            <w:tcW w:w="992" w:type="dxa"/>
            <w:tcBorders>
              <w:top w:val="single" w:sz="4" w:space="0" w:color="auto"/>
              <w:left w:val="nil"/>
              <w:bottom w:val="single" w:sz="4" w:space="0" w:color="auto"/>
              <w:right w:val="single" w:sz="4" w:space="0" w:color="auto"/>
            </w:tcBorders>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 xml:space="preserve">1,0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700,0</w:t>
            </w:r>
          </w:p>
        </w:tc>
        <w:tc>
          <w:tcPr>
            <w:tcW w:w="709" w:type="dxa"/>
            <w:tcBorders>
              <w:top w:val="nil"/>
              <w:left w:val="nil"/>
              <w:bottom w:val="single" w:sz="4" w:space="0" w:color="auto"/>
              <w:right w:val="single" w:sz="4" w:space="0" w:color="auto"/>
            </w:tcBorders>
            <w:shd w:val="clear" w:color="auto" w:fill="auto"/>
          </w:tcPr>
          <w:p w:rsidR="00F47116" w:rsidRPr="00F47116" w:rsidRDefault="00F47116" w:rsidP="00F47116">
            <w:pPr>
              <w:spacing w:after="0" w:line="240" w:lineRule="auto"/>
              <w:jc w:val="center"/>
              <w:rPr>
                <w:rFonts w:ascii="Times New Roman" w:eastAsia="Calibri" w:hAnsi="Times New Roman" w:cs="Times New Roman"/>
                <w:b/>
                <w:bCs/>
                <w:sz w:val="16"/>
                <w:szCs w:val="16"/>
                <w:highlight w:val="yellow"/>
                <w:lang w:eastAsia="ru-RU"/>
              </w:rPr>
            </w:pPr>
            <w:r w:rsidRPr="00F47116">
              <w:rPr>
                <w:rFonts w:ascii="Times New Roman" w:eastAsia="Calibri" w:hAnsi="Times New Roman" w:cs="Times New Roman"/>
                <w:sz w:val="16"/>
                <w:szCs w:val="16"/>
              </w:rPr>
              <w:t>1,2</w:t>
            </w:r>
          </w:p>
        </w:tc>
        <w:tc>
          <w:tcPr>
            <w:tcW w:w="236" w:type="dxa"/>
            <w:vAlign w:val="center"/>
          </w:tcPr>
          <w:p w:rsidR="00F47116" w:rsidRPr="00F47116" w:rsidRDefault="00F47116" w:rsidP="00F47116">
            <w:pPr>
              <w:spacing w:after="200" w:line="276" w:lineRule="auto"/>
              <w:jc w:val="center"/>
              <w:rPr>
                <w:rFonts w:ascii="Calibri" w:eastAsia="Calibri" w:hAnsi="Calibri" w:cs="Times New Roman"/>
                <w:color w:val="000000"/>
                <w:sz w:val="20"/>
                <w:szCs w:val="20"/>
                <w:highlight w:val="yellow"/>
              </w:rPr>
            </w:pPr>
          </w:p>
        </w:tc>
      </w:tr>
    </w:tbl>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Проектом решения предлагается корректировка расходов бюджета                   Ханты-Мансийского района по 12 муниципальным программам, с увеличением расходов на общую сумму – 748 642.5 тыс. рублей, что обусловлено перераспределением средств между муниципальными программами, исполнителями муниципальных программ, изменениями, произведенными в соответствии со статьей 217 Бюджетного Кодекса, статьей 12 решения Думы Ханты-Мансийского района от 15.12.2023 № 391 «О бюджете Ханты-Мансийского района на 2024 год и плановый период 2025 и 2026 годов», а также с распределением: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иных межбюджетных трансфертов из бюджета Ханты-Мансийского автономного округа – Югры;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безвозмездных поступлений, имеющих целевое назначение от ООО «Газпромнефть-Хантос», ООО «РН-Юганскнефтегаз», ПАО «Нефтяная компания «ЛУКОЙЛ», ПАО «Нефтегазовая компания «</w:t>
      </w:r>
      <w:proofErr w:type="spellStart"/>
      <w:r w:rsidRPr="00F47116">
        <w:rPr>
          <w:rFonts w:ascii="Times New Roman" w:eastAsia="Calibri" w:hAnsi="Times New Roman" w:cs="Times New Roman"/>
          <w:sz w:val="28"/>
          <w:szCs w:val="28"/>
        </w:rPr>
        <w:t>РуссНефть</w:t>
      </w:r>
      <w:proofErr w:type="spellEnd"/>
      <w:r w:rsidRPr="00F47116">
        <w:rPr>
          <w:rFonts w:ascii="Times New Roman" w:eastAsia="Calibri" w:hAnsi="Times New Roman" w:cs="Times New Roman"/>
          <w:sz w:val="28"/>
          <w:szCs w:val="28"/>
        </w:rPr>
        <w:t xml:space="preserve">»;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платы за негативное воздействие на окружающую среду, штрафов, установленных Кодексом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а также суммы административных штрафов, установленных законами субъектов Российской Федерации за административные правонарушения в области охраны окружающей среды и природопользования, средств от платежей по искам о возмещении вреда, причиненного окружающей среде, в том числе водным объектам, вследствие нарушений обязательных требований, а также от платежей, уплачиваемых при добровольном возмещении вреда, причиненного окружающей среде, в том </w:t>
      </w:r>
      <w:r w:rsidRPr="00F47116">
        <w:rPr>
          <w:rFonts w:ascii="Times New Roman" w:eastAsia="Calibri" w:hAnsi="Times New Roman" w:cs="Times New Roman"/>
          <w:sz w:val="28"/>
          <w:szCs w:val="28"/>
        </w:rPr>
        <w:lastRenderedPageBreak/>
        <w:t>числе водным объектам, вследствие нарушений обязательных требований, зачисленных в бюджет Ханты-Мансийского района в 2023 году, имеющих целевое назначение;</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остатков средств на едином бюджетном счёте по состоянию                          на 1 января 2024 года.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Проектом решения не предусмотрено уменьшение расходов                                    по муниципальным программам.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Увеличение расходов предлагается по следующим муниципальным программам: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«Развитие образования в Ханты-Мансийском районе» на 19 974,4 тыс. рублей или 0,8 %;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«Культура Ханты-Мансийского района» на 99 159,4 тыс. рублей или 57,2%;</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«Содействие занятости населения Ханты-Мансийского района» на 7 500,0 тыс. рублей или 14,9 %;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«Развитие и модернизация жилищно-коммунального комплекса                     и повышение энергетической эффективности в Ханты-Мансийском районе» на 210 578,6 тыс. рублей или 29,5 %;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«Безопасность жизнедеятельности в Ханты-Мансийском </w:t>
      </w:r>
      <w:proofErr w:type="gramStart"/>
      <w:r w:rsidRPr="00F47116">
        <w:rPr>
          <w:rFonts w:ascii="Times New Roman" w:eastAsia="Calibri" w:hAnsi="Times New Roman" w:cs="Times New Roman"/>
          <w:sz w:val="28"/>
          <w:szCs w:val="28"/>
        </w:rPr>
        <w:t xml:space="preserve">районе»   </w:t>
      </w:r>
      <w:proofErr w:type="gramEnd"/>
      <w:r w:rsidRPr="00F47116">
        <w:rPr>
          <w:rFonts w:ascii="Times New Roman" w:eastAsia="Calibri" w:hAnsi="Times New Roman" w:cs="Times New Roman"/>
          <w:sz w:val="28"/>
          <w:szCs w:val="28"/>
        </w:rPr>
        <w:t xml:space="preserve">                на 0,3 тыс. рублей или 0,001 %;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«Обеспечение экологической безопасности Ханты-Мансийского района» на 231 665,3 тыс. рублей или 413,1%;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«Комплексное развитие транспортной системы на территории                       Ханты-Мансийского района» на 129 783,7 тыс. рублей или 121,9 %;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«Развитие гражданского общества Ханты-Мансийского района» на 710,0 тыс. рублей или 3,8 %;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«Формирование и развитие муниципального имущества                          Ханты-Мансийского района» на 13 590,7 тыс. рублей или 28,4 %;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«Повышение эффективности муниципального управления                       Ханты-Мансийского района» на 1 711,5 тыс. рублей или 0,5 %;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«Подготовка перспективных территорий для развития жилищного строительства Ханты-Мансийского района» на 2 099,1 тыс. рублей или 14,1 %;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«Благоустройство населенных пунктов Ханты-Мансийского </w:t>
      </w:r>
      <w:proofErr w:type="gramStart"/>
      <w:r w:rsidRPr="00F47116">
        <w:rPr>
          <w:rFonts w:ascii="Times New Roman" w:eastAsia="Calibri" w:hAnsi="Times New Roman" w:cs="Times New Roman"/>
          <w:sz w:val="28"/>
          <w:szCs w:val="28"/>
        </w:rPr>
        <w:t xml:space="preserve">района»   </w:t>
      </w:r>
      <w:proofErr w:type="gramEnd"/>
      <w:r w:rsidRPr="00F47116">
        <w:rPr>
          <w:rFonts w:ascii="Times New Roman" w:eastAsia="Calibri" w:hAnsi="Times New Roman" w:cs="Times New Roman"/>
          <w:sz w:val="28"/>
          <w:szCs w:val="28"/>
        </w:rPr>
        <w:t xml:space="preserve">                  на 30 869,5 тыс. рублей или 404,5 %.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По 9 муниципальным программам корректировка расходов                                 не предусмотрена, в том числе: «Развитие спорта и туризма на территории            Ханты-Мансийского района», «Развитие агропромышленного комплекса Ханты-Мансийского района», «Улучшение жилищных условий жителей Ханты-Мансийского района», «Профилактика правонарушений в сфере обеспечения общественной безопасности в Ханты-Мансийском районе», «Укрепление 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 </w:t>
      </w:r>
      <w:r w:rsidRPr="00F47116">
        <w:rPr>
          <w:rFonts w:ascii="Times New Roman" w:eastAsia="Calibri" w:hAnsi="Times New Roman" w:cs="Times New Roman"/>
          <w:sz w:val="28"/>
          <w:szCs w:val="28"/>
        </w:rPr>
        <w:lastRenderedPageBreak/>
        <w:t>«Развитие малого и среднего предпринимательства на территории Ханты-Мансийского района», «Развитие цифрового общества Ханты-Мансийского района», «Создание условий для ответственного управления муниципальными финансами, повышения устойчивости местных бюджетов Ханты-Мансийского района», «Устойчивое развитие коренных малочисленных народов Севера на территории Ханты-Мансийского района».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Проектом решения предлагается увеличить размер финансирования непрограммных мероприятий на 700,0 тыс. рублей или 1,2 </w:t>
      </w:r>
      <w:proofErr w:type="gramStart"/>
      <w:r w:rsidRPr="00F47116">
        <w:rPr>
          <w:rFonts w:ascii="Times New Roman" w:eastAsia="Calibri" w:hAnsi="Times New Roman" w:cs="Times New Roman"/>
          <w:sz w:val="28"/>
          <w:szCs w:val="28"/>
        </w:rPr>
        <w:t xml:space="preserve">%,   </w:t>
      </w:r>
      <w:proofErr w:type="gramEnd"/>
      <w:r w:rsidRPr="00F47116">
        <w:rPr>
          <w:rFonts w:ascii="Times New Roman" w:eastAsia="Calibri" w:hAnsi="Times New Roman" w:cs="Times New Roman"/>
          <w:sz w:val="28"/>
          <w:szCs w:val="28"/>
        </w:rPr>
        <w:t xml:space="preserve">                                          с 58 814,7 тыс. рублей до 59 514,7 тыс. рублей, что связано с поступлением иных межбюджетных трансфертов из бюджета Ханты-Мансийского автономного округа – Югры на реализацию наказов избирателей депутатам Думы Ханты-Мансийского автономного округа – Югры для оказания финансовой помощи, в том числе:</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муниципальному казенному общеобразовательному учреждению                     Ханты-Мансийского района «Средняя общеобразовательная школа с. Цингалы» на приобретение юнармейской формы военно-патриотическому клубу «Вымпел» – 100,0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муниципальному казенному дошкольному образовательному учреждению Ханты-Мансийского района «Детский сад «Солнышко» п. Кедровый», на приобретение принтера, карнавальных костюмов – 100,0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муниципальному автономному учреждению дополнительного образования Ханты-Мансийского района «Центр дополнительного образования», на организацию и проведение мероприятий военно-исторической реконструкции событий l941- l945 годов – 300,0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муниципальному бюджетному учреждению культуры, молодежной политики, физкультуры и спорта КДЦ «Геолог» сельского поселения Горноправдинск, на приобретение сценических костюмов – 100,0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муниципальному бюджетному учреждению культуры «Дружба</w:t>
      </w:r>
      <w:proofErr w:type="gramStart"/>
      <w:r w:rsidRPr="00F47116">
        <w:rPr>
          <w:rFonts w:ascii="Times New Roman" w:eastAsia="Calibri" w:hAnsi="Times New Roman" w:cs="Times New Roman"/>
          <w:sz w:val="28"/>
          <w:szCs w:val="28"/>
        </w:rPr>
        <w:t xml:space="preserve">»,   </w:t>
      </w:r>
      <w:proofErr w:type="gramEnd"/>
      <w:r w:rsidRPr="00F47116">
        <w:rPr>
          <w:rFonts w:ascii="Times New Roman" w:eastAsia="Calibri" w:hAnsi="Times New Roman" w:cs="Times New Roman"/>
          <w:sz w:val="28"/>
          <w:szCs w:val="28"/>
        </w:rPr>
        <w:t xml:space="preserve">                           п. Луговской Ханты-Мансийского района, на приобретение ноутбуков                                    – 100,0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Проектом решения предлагается распределить из бюджета муниципального района в бюджеты 6 сельских поселений средства, в объеме 39 715,3 тыс. рублей, в том числе:</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1) увеличить на 200,0 тыс. рублей непрограммные расходы в рамках                        реализации наказов избирателей депутатам Думы Ханты-Мансийского автономного округа – Югры (сельские поселения: Горноправдинск, Луговской);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2) увеличить расходы в общей сумме на 39 515,3 тыс. рублей на реализацию мероприятий муниципальных программ Ханты-Мансийского района в сельских поселениях, из них: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«Комплексное развитие транспортной системы на территории                          Ханты-Мансийского района» - 10 812,1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«Формирование и развитие муниципального имущества                                    Ханты-Мансийского района» - 13 000,0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lastRenderedPageBreak/>
        <w:t>«Развитие и модернизация жилищно-коммунального комплекса                            и повышение энергетической эффективности в Ханты-Мансийском районе» - 535,4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«Благоустройство населенных пунктов Ханты-Мансийского </w:t>
      </w:r>
      <w:proofErr w:type="gramStart"/>
      <w:r w:rsidRPr="00F47116">
        <w:rPr>
          <w:rFonts w:ascii="Times New Roman" w:eastAsia="Calibri" w:hAnsi="Times New Roman" w:cs="Times New Roman"/>
          <w:sz w:val="28"/>
          <w:szCs w:val="28"/>
        </w:rPr>
        <w:t xml:space="preserve">района»   </w:t>
      </w:r>
      <w:proofErr w:type="gramEnd"/>
      <w:r w:rsidRPr="00F47116">
        <w:rPr>
          <w:rFonts w:ascii="Times New Roman" w:eastAsia="Calibri" w:hAnsi="Times New Roman" w:cs="Times New Roman"/>
          <w:sz w:val="28"/>
          <w:szCs w:val="28"/>
        </w:rPr>
        <w:t xml:space="preserve">                 - 15 167,8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Подробное направление расходов при выделении средств сельским поселениям в рамках реализации муниципальных программ Ханты-Мансийского района, непрограммных расходов приведено в пояснительной записке к Проекту решения.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Анализ средств, направленных из бюджета муниципального района                          в бюджеты сельских поселений в разрезе муниципальных программ                                                и непрограммных расходов представлен в Таблице 4.</w:t>
      </w:r>
    </w:p>
    <w:p w:rsidR="00F47116" w:rsidRPr="00F47116" w:rsidRDefault="00F47116" w:rsidP="00F47116">
      <w:pPr>
        <w:spacing w:after="0" w:line="240" w:lineRule="auto"/>
        <w:ind w:firstLine="709"/>
        <w:contextualSpacing/>
        <w:jc w:val="right"/>
        <w:rPr>
          <w:rFonts w:ascii="Times New Roman" w:eastAsia="Calibri" w:hAnsi="Times New Roman" w:cs="Times New Roman"/>
          <w:sz w:val="24"/>
          <w:szCs w:val="24"/>
          <w:lang w:eastAsia="ru-RU"/>
        </w:rPr>
      </w:pPr>
      <w:r w:rsidRPr="00F47116">
        <w:rPr>
          <w:rFonts w:ascii="Times New Roman" w:eastAsia="Calibri" w:hAnsi="Times New Roman" w:cs="Times New Roman"/>
          <w:sz w:val="24"/>
          <w:szCs w:val="24"/>
          <w:lang w:eastAsia="ru-RU"/>
        </w:rPr>
        <w:t>Таблица 4</w:t>
      </w:r>
    </w:p>
    <w:p w:rsidR="00F47116" w:rsidRPr="00F47116" w:rsidRDefault="00F47116" w:rsidP="00F47116">
      <w:pPr>
        <w:spacing w:after="0" w:line="240" w:lineRule="auto"/>
        <w:ind w:firstLine="709"/>
        <w:contextualSpacing/>
        <w:jc w:val="right"/>
        <w:rPr>
          <w:rFonts w:ascii="Times New Roman" w:eastAsia="Calibri" w:hAnsi="Times New Roman" w:cs="Times New Roman"/>
          <w:sz w:val="24"/>
          <w:szCs w:val="24"/>
          <w:lang w:eastAsia="ru-RU"/>
        </w:rPr>
      </w:pPr>
      <w:r w:rsidRPr="00F47116">
        <w:rPr>
          <w:rFonts w:ascii="Times New Roman" w:eastAsia="Calibri" w:hAnsi="Times New Roman" w:cs="Times New Roman"/>
          <w:sz w:val="24"/>
          <w:szCs w:val="24"/>
          <w:lang w:eastAsia="ru-RU"/>
        </w:rPr>
        <w:t xml:space="preserve">   (тыс. рублей)</w:t>
      </w:r>
    </w:p>
    <w:tbl>
      <w:tblPr>
        <w:tblpPr w:leftFromText="180" w:rightFromText="180" w:vertAnchor="text" w:horzAnchor="margin" w:tblpY="94"/>
        <w:tblW w:w="10137" w:type="dxa"/>
        <w:tblLayout w:type="fixed"/>
        <w:tblLook w:val="04A0" w:firstRow="1" w:lastRow="0" w:firstColumn="1" w:lastColumn="0" w:noHBand="0" w:noVBand="1"/>
      </w:tblPr>
      <w:tblGrid>
        <w:gridCol w:w="534"/>
        <w:gridCol w:w="1701"/>
        <w:gridCol w:w="1275"/>
        <w:gridCol w:w="1560"/>
        <w:gridCol w:w="1559"/>
        <w:gridCol w:w="1417"/>
        <w:gridCol w:w="1276"/>
        <w:gridCol w:w="815"/>
      </w:tblGrid>
      <w:tr w:rsidR="00F47116" w:rsidRPr="00F47116" w:rsidTr="0023463D">
        <w:trPr>
          <w:trHeight w:val="2005"/>
        </w:trPr>
        <w:tc>
          <w:tcPr>
            <w:tcW w:w="534" w:type="dxa"/>
            <w:tcBorders>
              <w:top w:val="single" w:sz="8" w:space="0" w:color="auto"/>
              <w:left w:val="single" w:sz="8" w:space="0" w:color="auto"/>
              <w:bottom w:val="nil"/>
              <w:right w:val="nil"/>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 п/п</w:t>
            </w:r>
          </w:p>
        </w:tc>
        <w:tc>
          <w:tcPr>
            <w:tcW w:w="1701" w:type="dxa"/>
            <w:tcBorders>
              <w:top w:val="single" w:sz="8" w:space="0" w:color="auto"/>
              <w:left w:val="single" w:sz="8" w:space="0" w:color="auto"/>
              <w:bottom w:val="nil"/>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Сельское поселение/</w:t>
            </w:r>
          </w:p>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proofErr w:type="spellStart"/>
            <w:r w:rsidRPr="00F47116">
              <w:rPr>
                <w:rFonts w:ascii="Times New Roman" w:eastAsia="Times New Roman" w:hAnsi="Times New Roman" w:cs="Times New Roman"/>
                <w:b/>
                <w:bCs/>
                <w:sz w:val="16"/>
                <w:szCs w:val="16"/>
                <w:lang w:eastAsia="ru-RU"/>
              </w:rPr>
              <w:t>муниипальные</w:t>
            </w:r>
            <w:proofErr w:type="spellEnd"/>
            <w:r w:rsidRPr="00F47116">
              <w:rPr>
                <w:rFonts w:ascii="Times New Roman" w:eastAsia="Times New Roman" w:hAnsi="Times New Roman" w:cs="Times New Roman"/>
                <w:b/>
                <w:bCs/>
                <w:sz w:val="16"/>
                <w:szCs w:val="16"/>
                <w:lang w:eastAsia="ru-RU"/>
              </w:rPr>
              <w:t xml:space="preserve"> программы/</w:t>
            </w:r>
          </w:p>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непрограммные расходы</w:t>
            </w:r>
          </w:p>
        </w:tc>
        <w:tc>
          <w:tcPr>
            <w:tcW w:w="1275" w:type="dxa"/>
            <w:tcBorders>
              <w:top w:val="single" w:sz="8" w:space="0" w:color="auto"/>
              <w:left w:val="nil"/>
              <w:bottom w:val="nil"/>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«Комплексное развитие транспортной системы на территории Ханты-Мансийского района»</w:t>
            </w:r>
          </w:p>
        </w:tc>
        <w:tc>
          <w:tcPr>
            <w:tcW w:w="1560" w:type="dxa"/>
            <w:tcBorders>
              <w:top w:val="single" w:sz="8" w:space="0" w:color="auto"/>
              <w:left w:val="nil"/>
              <w:bottom w:val="nil"/>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«Формирование и развитие муниципального имущества Ханты-Мансийского района»</w:t>
            </w:r>
          </w:p>
        </w:tc>
        <w:tc>
          <w:tcPr>
            <w:tcW w:w="1559" w:type="dxa"/>
            <w:tcBorders>
              <w:top w:val="single" w:sz="8" w:space="0" w:color="auto"/>
              <w:left w:val="nil"/>
              <w:bottom w:val="nil"/>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«Благоустройство населенных пунктов Ханты-Мансийского района»</w:t>
            </w:r>
          </w:p>
        </w:tc>
        <w:tc>
          <w:tcPr>
            <w:tcW w:w="1417" w:type="dxa"/>
            <w:tcBorders>
              <w:top w:val="single" w:sz="8" w:space="0" w:color="auto"/>
              <w:left w:val="nil"/>
              <w:bottom w:val="nil"/>
              <w:right w:val="nil"/>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«Развитие и модернизация жилищно-коммунального комплекса и повышение энергетической эффективности в Ханты-Мансийском районе»</w:t>
            </w:r>
          </w:p>
        </w:tc>
        <w:tc>
          <w:tcPr>
            <w:tcW w:w="1276" w:type="dxa"/>
            <w:tcBorders>
              <w:top w:val="single" w:sz="8" w:space="0" w:color="auto"/>
              <w:left w:val="single" w:sz="4" w:space="0" w:color="auto"/>
              <w:bottom w:val="nil"/>
              <w:right w:val="nil"/>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Не программные</w:t>
            </w:r>
          </w:p>
        </w:tc>
        <w:tc>
          <w:tcPr>
            <w:tcW w:w="815" w:type="dxa"/>
            <w:tcBorders>
              <w:top w:val="single" w:sz="8" w:space="0" w:color="auto"/>
              <w:left w:val="single" w:sz="8" w:space="0" w:color="auto"/>
              <w:bottom w:val="nil"/>
              <w:right w:val="single" w:sz="8"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Всего</w:t>
            </w:r>
          </w:p>
        </w:tc>
      </w:tr>
      <w:tr w:rsidR="00F47116" w:rsidRPr="00F47116" w:rsidTr="0023463D">
        <w:trPr>
          <w:trHeight w:val="297"/>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1</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xml:space="preserve">СП </w:t>
            </w:r>
            <w:proofErr w:type="spellStart"/>
            <w:r w:rsidRPr="00F47116">
              <w:rPr>
                <w:rFonts w:ascii="Times New Roman" w:eastAsia="Times New Roman" w:hAnsi="Times New Roman" w:cs="Times New Roman"/>
                <w:sz w:val="16"/>
                <w:szCs w:val="16"/>
                <w:lang w:eastAsia="ru-RU"/>
              </w:rPr>
              <w:t>Горноправ</w:t>
            </w:r>
            <w:proofErr w:type="spellEnd"/>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100,0</w:t>
            </w:r>
          </w:p>
        </w:tc>
        <w:tc>
          <w:tcPr>
            <w:tcW w:w="815" w:type="dxa"/>
            <w:tcBorders>
              <w:top w:val="single" w:sz="4" w:space="0" w:color="auto"/>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100,0</w:t>
            </w:r>
          </w:p>
        </w:tc>
      </w:tr>
      <w:tr w:rsidR="00F47116" w:rsidRPr="00F47116" w:rsidTr="0023463D">
        <w:trPr>
          <w:trHeight w:val="297"/>
        </w:trPr>
        <w:tc>
          <w:tcPr>
            <w:tcW w:w="534"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2</w:t>
            </w:r>
          </w:p>
        </w:tc>
        <w:tc>
          <w:tcPr>
            <w:tcW w:w="1701"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СП Селиярово</w:t>
            </w:r>
          </w:p>
        </w:tc>
        <w:tc>
          <w:tcPr>
            <w:tcW w:w="1275"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10 000,0</w:t>
            </w:r>
          </w:p>
        </w:tc>
        <w:tc>
          <w:tcPr>
            <w:tcW w:w="1560"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13 000,0</w:t>
            </w:r>
          </w:p>
        </w:tc>
        <w:tc>
          <w:tcPr>
            <w:tcW w:w="1559"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2 000,0</w:t>
            </w:r>
          </w:p>
        </w:tc>
        <w:tc>
          <w:tcPr>
            <w:tcW w:w="1417"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276"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815"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25 000,0</w:t>
            </w:r>
          </w:p>
        </w:tc>
      </w:tr>
      <w:tr w:rsidR="00F47116" w:rsidRPr="00F47116" w:rsidTr="0023463D">
        <w:trPr>
          <w:trHeight w:val="297"/>
        </w:trPr>
        <w:tc>
          <w:tcPr>
            <w:tcW w:w="534"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3</w:t>
            </w:r>
          </w:p>
        </w:tc>
        <w:tc>
          <w:tcPr>
            <w:tcW w:w="1701"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СП Выкатной</w:t>
            </w:r>
          </w:p>
        </w:tc>
        <w:tc>
          <w:tcPr>
            <w:tcW w:w="1275"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560"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8 900,0</w:t>
            </w:r>
          </w:p>
        </w:tc>
        <w:tc>
          <w:tcPr>
            <w:tcW w:w="1417" w:type="dxa"/>
            <w:tcBorders>
              <w:top w:val="nil"/>
              <w:left w:val="nil"/>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535,4</w:t>
            </w:r>
          </w:p>
        </w:tc>
        <w:tc>
          <w:tcPr>
            <w:tcW w:w="1276" w:type="dxa"/>
            <w:tcBorders>
              <w:top w:val="nil"/>
              <w:left w:val="nil"/>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815"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9 435,4</w:t>
            </w:r>
          </w:p>
        </w:tc>
      </w:tr>
      <w:tr w:rsidR="00F47116" w:rsidRPr="00F47116" w:rsidTr="0023463D">
        <w:trPr>
          <w:trHeight w:val="297"/>
        </w:trPr>
        <w:tc>
          <w:tcPr>
            <w:tcW w:w="534"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4</w:t>
            </w:r>
          </w:p>
        </w:tc>
        <w:tc>
          <w:tcPr>
            <w:tcW w:w="1701"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СП Луговской</w:t>
            </w:r>
          </w:p>
        </w:tc>
        <w:tc>
          <w:tcPr>
            <w:tcW w:w="1275" w:type="dxa"/>
            <w:tcBorders>
              <w:top w:val="nil"/>
              <w:left w:val="nil"/>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791,8</w:t>
            </w:r>
          </w:p>
        </w:tc>
        <w:tc>
          <w:tcPr>
            <w:tcW w:w="1560"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1 500,0</w:t>
            </w:r>
          </w:p>
        </w:tc>
        <w:tc>
          <w:tcPr>
            <w:tcW w:w="1417"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276"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100,0</w:t>
            </w:r>
          </w:p>
        </w:tc>
        <w:tc>
          <w:tcPr>
            <w:tcW w:w="815"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2 391,8</w:t>
            </w:r>
          </w:p>
        </w:tc>
      </w:tr>
      <w:tr w:rsidR="00F47116" w:rsidRPr="00F47116" w:rsidTr="0023463D">
        <w:trPr>
          <w:trHeight w:val="297"/>
        </w:trPr>
        <w:tc>
          <w:tcPr>
            <w:tcW w:w="534"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5</w:t>
            </w:r>
          </w:p>
        </w:tc>
        <w:tc>
          <w:tcPr>
            <w:tcW w:w="1701"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СП Сибирский</w:t>
            </w:r>
          </w:p>
        </w:tc>
        <w:tc>
          <w:tcPr>
            <w:tcW w:w="1275"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14,9</w:t>
            </w:r>
          </w:p>
        </w:tc>
        <w:tc>
          <w:tcPr>
            <w:tcW w:w="1560"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2 767,8</w:t>
            </w:r>
          </w:p>
        </w:tc>
        <w:tc>
          <w:tcPr>
            <w:tcW w:w="1417"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815"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2 782,7</w:t>
            </w:r>
          </w:p>
        </w:tc>
      </w:tr>
      <w:tr w:rsidR="00F47116" w:rsidRPr="00F47116" w:rsidTr="0023463D">
        <w:trPr>
          <w:trHeight w:val="297"/>
        </w:trPr>
        <w:tc>
          <w:tcPr>
            <w:tcW w:w="534" w:type="dxa"/>
            <w:tcBorders>
              <w:top w:val="nil"/>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6</w:t>
            </w:r>
          </w:p>
        </w:tc>
        <w:tc>
          <w:tcPr>
            <w:tcW w:w="1701"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СП Шапша</w:t>
            </w:r>
          </w:p>
        </w:tc>
        <w:tc>
          <w:tcPr>
            <w:tcW w:w="1275"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5,4</w:t>
            </w:r>
          </w:p>
        </w:tc>
        <w:tc>
          <w:tcPr>
            <w:tcW w:w="1560"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417"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sz w:val="16"/>
                <w:szCs w:val="16"/>
                <w:lang w:eastAsia="ru-RU"/>
              </w:rPr>
            </w:pPr>
            <w:r w:rsidRPr="00F47116">
              <w:rPr>
                <w:rFonts w:ascii="Times New Roman" w:eastAsia="Times New Roman" w:hAnsi="Times New Roman" w:cs="Times New Roman"/>
                <w:sz w:val="16"/>
                <w:szCs w:val="16"/>
                <w:lang w:eastAsia="ru-RU"/>
              </w:rPr>
              <w:t> </w:t>
            </w:r>
          </w:p>
        </w:tc>
        <w:tc>
          <w:tcPr>
            <w:tcW w:w="815" w:type="dxa"/>
            <w:tcBorders>
              <w:top w:val="nil"/>
              <w:left w:val="nil"/>
              <w:bottom w:val="single" w:sz="4" w:space="0" w:color="auto"/>
              <w:right w:val="single" w:sz="4" w:space="0" w:color="auto"/>
            </w:tcBorders>
            <w:shd w:val="clear" w:color="000000" w:fill="FFFFFF"/>
            <w:vAlign w:val="center"/>
            <w:hideMark/>
          </w:tcPr>
          <w:p w:rsidR="00F47116" w:rsidRPr="00F47116" w:rsidRDefault="00F47116" w:rsidP="00F47116">
            <w:pPr>
              <w:spacing w:after="0" w:line="240" w:lineRule="auto"/>
              <w:jc w:val="center"/>
              <w:rPr>
                <w:rFonts w:ascii="Times New Roman" w:eastAsia="Times New Roman" w:hAnsi="Times New Roman" w:cs="Times New Roman"/>
                <w:b/>
                <w:bCs/>
                <w:sz w:val="16"/>
                <w:szCs w:val="16"/>
                <w:lang w:eastAsia="ru-RU"/>
              </w:rPr>
            </w:pPr>
            <w:r w:rsidRPr="00F47116">
              <w:rPr>
                <w:rFonts w:ascii="Times New Roman" w:eastAsia="Times New Roman" w:hAnsi="Times New Roman" w:cs="Times New Roman"/>
                <w:b/>
                <w:bCs/>
                <w:sz w:val="16"/>
                <w:szCs w:val="16"/>
                <w:lang w:eastAsia="ru-RU"/>
              </w:rPr>
              <w:t>5,4</w:t>
            </w:r>
          </w:p>
        </w:tc>
      </w:tr>
      <w:tr w:rsidR="00F47116" w:rsidRPr="00F47116" w:rsidTr="0023463D">
        <w:trPr>
          <w:trHeight w:val="297"/>
        </w:trPr>
        <w:tc>
          <w:tcPr>
            <w:tcW w:w="223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6"/>
                <w:szCs w:val="16"/>
                <w:lang w:eastAsia="ru-RU"/>
              </w:rPr>
            </w:pPr>
            <w:r w:rsidRPr="00F47116">
              <w:rPr>
                <w:rFonts w:ascii="Times New Roman" w:eastAsia="Times New Roman" w:hAnsi="Times New Roman" w:cs="Times New Roman"/>
                <w:b/>
                <w:bCs/>
                <w:color w:val="000000"/>
                <w:sz w:val="16"/>
                <w:szCs w:val="16"/>
                <w:lang w:eastAsia="ru-RU"/>
              </w:rPr>
              <w:t>ИТОГО</w:t>
            </w:r>
          </w:p>
        </w:tc>
        <w:tc>
          <w:tcPr>
            <w:tcW w:w="1275"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6"/>
                <w:szCs w:val="16"/>
                <w:lang w:eastAsia="ru-RU"/>
              </w:rPr>
            </w:pPr>
            <w:r w:rsidRPr="00F47116">
              <w:rPr>
                <w:rFonts w:ascii="Times New Roman" w:eastAsia="Times New Roman" w:hAnsi="Times New Roman" w:cs="Times New Roman"/>
                <w:b/>
                <w:bCs/>
                <w:color w:val="000000"/>
                <w:sz w:val="16"/>
                <w:szCs w:val="16"/>
                <w:lang w:eastAsia="ru-RU"/>
              </w:rPr>
              <w:t>10 812,1</w:t>
            </w:r>
          </w:p>
        </w:tc>
        <w:tc>
          <w:tcPr>
            <w:tcW w:w="1560"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6"/>
                <w:szCs w:val="16"/>
                <w:lang w:eastAsia="ru-RU"/>
              </w:rPr>
            </w:pPr>
            <w:r w:rsidRPr="00F47116">
              <w:rPr>
                <w:rFonts w:ascii="Times New Roman" w:eastAsia="Times New Roman" w:hAnsi="Times New Roman" w:cs="Times New Roman"/>
                <w:b/>
                <w:bCs/>
                <w:color w:val="000000"/>
                <w:sz w:val="16"/>
                <w:szCs w:val="16"/>
                <w:lang w:eastAsia="ru-RU"/>
              </w:rPr>
              <w:t>13 000,0</w:t>
            </w:r>
          </w:p>
        </w:tc>
        <w:tc>
          <w:tcPr>
            <w:tcW w:w="1559"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6"/>
                <w:szCs w:val="16"/>
                <w:lang w:eastAsia="ru-RU"/>
              </w:rPr>
            </w:pPr>
            <w:r w:rsidRPr="00F47116">
              <w:rPr>
                <w:rFonts w:ascii="Times New Roman" w:eastAsia="Times New Roman" w:hAnsi="Times New Roman" w:cs="Times New Roman"/>
                <w:b/>
                <w:bCs/>
                <w:color w:val="000000"/>
                <w:sz w:val="16"/>
                <w:szCs w:val="16"/>
                <w:lang w:eastAsia="ru-RU"/>
              </w:rPr>
              <w:t>15 167,8</w:t>
            </w:r>
          </w:p>
        </w:tc>
        <w:tc>
          <w:tcPr>
            <w:tcW w:w="1417"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6"/>
                <w:szCs w:val="16"/>
                <w:lang w:eastAsia="ru-RU"/>
              </w:rPr>
            </w:pPr>
            <w:r w:rsidRPr="00F47116">
              <w:rPr>
                <w:rFonts w:ascii="Times New Roman" w:eastAsia="Times New Roman" w:hAnsi="Times New Roman" w:cs="Times New Roman"/>
                <w:b/>
                <w:bCs/>
                <w:color w:val="000000"/>
                <w:sz w:val="16"/>
                <w:szCs w:val="16"/>
                <w:lang w:eastAsia="ru-RU"/>
              </w:rPr>
              <w:t>535,4 </w:t>
            </w:r>
          </w:p>
        </w:tc>
        <w:tc>
          <w:tcPr>
            <w:tcW w:w="1276"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6"/>
                <w:szCs w:val="16"/>
                <w:lang w:eastAsia="ru-RU"/>
              </w:rPr>
            </w:pPr>
            <w:r w:rsidRPr="00F47116">
              <w:rPr>
                <w:rFonts w:ascii="Times New Roman" w:eastAsia="Times New Roman" w:hAnsi="Times New Roman" w:cs="Times New Roman"/>
                <w:b/>
                <w:bCs/>
                <w:color w:val="000000"/>
                <w:sz w:val="16"/>
                <w:szCs w:val="16"/>
                <w:lang w:eastAsia="ru-RU"/>
              </w:rPr>
              <w:t>200,0</w:t>
            </w:r>
          </w:p>
        </w:tc>
        <w:tc>
          <w:tcPr>
            <w:tcW w:w="815" w:type="dxa"/>
            <w:tcBorders>
              <w:top w:val="nil"/>
              <w:left w:val="nil"/>
              <w:bottom w:val="single" w:sz="4" w:space="0" w:color="auto"/>
              <w:right w:val="single" w:sz="4" w:space="0" w:color="auto"/>
            </w:tcBorders>
            <w:shd w:val="clear" w:color="auto" w:fill="auto"/>
            <w:noWrap/>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6"/>
                <w:szCs w:val="16"/>
                <w:lang w:eastAsia="ru-RU"/>
              </w:rPr>
            </w:pPr>
            <w:r w:rsidRPr="00F47116">
              <w:rPr>
                <w:rFonts w:ascii="Times New Roman" w:eastAsia="Times New Roman" w:hAnsi="Times New Roman" w:cs="Times New Roman"/>
                <w:b/>
                <w:bCs/>
                <w:color w:val="000000"/>
                <w:sz w:val="16"/>
                <w:szCs w:val="16"/>
                <w:lang w:eastAsia="ru-RU"/>
              </w:rPr>
              <w:t>39 715,3</w:t>
            </w:r>
          </w:p>
        </w:tc>
      </w:tr>
    </w:tbl>
    <w:p w:rsidR="00F47116" w:rsidRPr="00F47116" w:rsidRDefault="00F47116" w:rsidP="00F47116">
      <w:pPr>
        <w:tabs>
          <w:tab w:val="left" w:pos="2388"/>
        </w:tabs>
        <w:spacing w:after="0" w:line="240" w:lineRule="auto"/>
        <w:ind w:firstLine="709"/>
        <w:contextualSpacing/>
        <w:rPr>
          <w:rFonts w:ascii="Times New Roman" w:eastAsia="Calibri" w:hAnsi="Times New Roman" w:cs="Times New Roman"/>
          <w:sz w:val="16"/>
          <w:szCs w:val="16"/>
        </w:rPr>
      </w:pPr>
      <w:r w:rsidRPr="00F47116">
        <w:rPr>
          <w:rFonts w:ascii="Times New Roman" w:eastAsia="Calibri" w:hAnsi="Times New Roman" w:cs="Times New Roman"/>
          <w:sz w:val="16"/>
          <w:szCs w:val="16"/>
          <w:highlight w:val="yellow"/>
          <w:lang w:eastAsia="ru-RU"/>
        </w:rPr>
        <w:t xml:space="preserve"> </w:t>
      </w:r>
      <w:r w:rsidRPr="00F47116">
        <w:rPr>
          <w:rFonts w:ascii="Times New Roman" w:eastAsia="Calibri" w:hAnsi="Times New Roman" w:cs="Times New Roman"/>
          <w:sz w:val="16"/>
          <w:szCs w:val="16"/>
          <w:highlight w:val="yellow"/>
          <w:lang w:eastAsia="ru-RU"/>
        </w:rPr>
        <w:fldChar w:fldCharType="begin"/>
      </w:r>
      <w:r w:rsidRPr="00F47116">
        <w:rPr>
          <w:rFonts w:ascii="Times New Roman" w:eastAsia="Calibri" w:hAnsi="Times New Roman" w:cs="Times New Roman"/>
          <w:sz w:val="16"/>
          <w:szCs w:val="16"/>
          <w:highlight w:val="yellow"/>
          <w:lang w:eastAsia="ru-RU"/>
        </w:rPr>
        <w:instrText xml:space="preserve"> LINK Excel.Sheet.12 "\\\\newfs\\share\\KSP\\КОНТРОЛЬНО-СЧЕТНАЯ ПАЛАТА\\ЗАКЛЮЧЕНИЯ\\2024 год\\Изменения в бюджет\\1. Февраль\\Собственные средства.xlsx" "СП (2)!R1C2:R8C9" \a \f 4 \h  \* MERGEFORMAT </w:instrText>
      </w:r>
      <w:r w:rsidRPr="00F47116">
        <w:rPr>
          <w:rFonts w:ascii="Times New Roman" w:eastAsia="Calibri" w:hAnsi="Times New Roman" w:cs="Times New Roman"/>
          <w:sz w:val="16"/>
          <w:szCs w:val="16"/>
          <w:highlight w:val="yellow"/>
          <w:lang w:eastAsia="ru-RU"/>
        </w:rPr>
        <w:fldChar w:fldCharType="separate"/>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16"/>
          <w:szCs w:val="16"/>
          <w:highlight w:val="yellow"/>
          <w:lang w:eastAsia="ru-RU"/>
        </w:rPr>
        <w:fldChar w:fldCharType="end"/>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sidRPr="00F47116">
        <w:rPr>
          <w:rFonts w:ascii="Times New Roman" w:eastAsia="Calibri" w:hAnsi="Times New Roman" w:cs="Times New Roman"/>
          <w:b/>
          <w:bCs/>
          <w:sz w:val="28"/>
          <w:szCs w:val="28"/>
        </w:rPr>
        <w:t>III. Дефицит бюджета, муниципальный долг 2024 года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Решением Думы Ханты-Мансийского района от 15.12.2023 № 391                    </w:t>
      </w:r>
      <w:proofErr w:type="gramStart"/>
      <w:r w:rsidRPr="00F47116">
        <w:rPr>
          <w:rFonts w:ascii="Times New Roman" w:eastAsia="Calibri" w:hAnsi="Times New Roman" w:cs="Times New Roman"/>
          <w:sz w:val="28"/>
          <w:szCs w:val="28"/>
        </w:rPr>
        <w:t xml:space="preserve">   «</w:t>
      </w:r>
      <w:proofErr w:type="gramEnd"/>
      <w:r w:rsidRPr="00F47116">
        <w:rPr>
          <w:rFonts w:ascii="Times New Roman" w:eastAsia="Calibri" w:hAnsi="Times New Roman" w:cs="Times New Roman"/>
          <w:sz w:val="28"/>
          <w:szCs w:val="28"/>
        </w:rPr>
        <w:t>О бюджете Ханты-Мансийского района на 2024 год и плановый период                           2025 и 2026 годов» бюджет Ханты-Мансийского района утвержден с дефицитом, в размере 114 688,0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Проектом решения предлагается утвердить дефицит бюджета в размере 787 567,8 тыс. рублей, увеличив его на 672 879,8 тыс. рублей или в 6 раз.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В сравнении с показателями, предусмотренными решением Думы                      Ханты-Мансийского района от 15.12.2023 № 391 «О бюджете Ханты-Мансийского района на 2024 год и плановый период 2025 и 2026 годов», в связи с увеличением объема привлекаемых кредитных средств на покрытие дефицита бюджета на 170 641,9 тыс. рублей, верхний предел муниципального внутреннего долга района на 1 января 2025 года увеличивается с 47 409,9 тыс. рублей до 218 051,8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lastRenderedPageBreak/>
        <w:t>Объем расходов на обслуживание муниципального долга района Проектом решения не изменяется и составляет 267,2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Объем муниципального долга соответствует ограничениям, установленным частью 5 статьи 107 Бюджетного кодекса Российской Федерации.</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Проектом решения вносятся соответствующие изменения                                в приложения 11 «Источники финансирования дефицита бюджета района на 2024 год», 12 «Источники финансирования дефицита бюджета района на 2025-2026 годы» и 21 «Программа муниципальных внутренних заимствований Ханты-Мансийского района на 2024 год и на плановый период 2025 и 2026 годов».</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Размер резервного фонда администрации района на 2024 год и плановый период 2025-2026 годов не корректируется и составляет 15 000,0 тыс. рублей на 2024 год и на каждый год планового периода.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Размер муниципального дорожного фонда Ханты-Мансийского района не изменяется и составит на 2024 год в сумме 86 117,7 тыс. рублей, на 2025 год в сумме 6 420,6 тыс. рублей, на 2026 год в сумме 6 624,3 тыс. рублей.</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sidRPr="00F47116">
        <w:rPr>
          <w:rFonts w:ascii="Times New Roman" w:eastAsia="Calibri" w:hAnsi="Times New Roman" w:cs="Times New Roman"/>
          <w:b/>
          <w:bCs/>
          <w:sz w:val="28"/>
          <w:szCs w:val="28"/>
        </w:rPr>
        <w:t>IV. Изменение параметров бюджета</w:t>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sidRPr="00F47116">
        <w:rPr>
          <w:rFonts w:ascii="Times New Roman" w:eastAsia="Calibri" w:hAnsi="Times New Roman" w:cs="Times New Roman"/>
          <w:b/>
          <w:bCs/>
          <w:sz w:val="28"/>
          <w:szCs w:val="28"/>
        </w:rPr>
        <w:t>планового периода 2025 и 2026 годов</w:t>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Анализ основных параметров бюджета планового периода                                      2025 и 2026 годов представлен в Таблице 5. </w:t>
      </w:r>
    </w:p>
    <w:p w:rsidR="00F47116" w:rsidRPr="00F47116" w:rsidRDefault="00F47116" w:rsidP="00F47116">
      <w:pPr>
        <w:spacing w:after="200" w:line="240" w:lineRule="auto"/>
        <w:ind w:firstLine="709"/>
        <w:contextualSpacing/>
        <w:jc w:val="right"/>
        <w:rPr>
          <w:rFonts w:ascii="Times New Roman" w:eastAsia="Calibri" w:hAnsi="Times New Roman" w:cs="Times New Roman"/>
          <w:sz w:val="24"/>
          <w:szCs w:val="24"/>
          <w:lang w:eastAsia="ru-RU"/>
        </w:rPr>
      </w:pPr>
      <w:r w:rsidRPr="00F47116">
        <w:rPr>
          <w:rFonts w:ascii="Times New Roman" w:eastAsia="Calibri" w:hAnsi="Times New Roman" w:cs="Times New Roman"/>
          <w:sz w:val="24"/>
          <w:szCs w:val="24"/>
          <w:lang w:eastAsia="ru-RU"/>
        </w:rPr>
        <w:t>Таблица 5</w:t>
      </w:r>
    </w:p>
    <w:p w:rsidR="00F47116" w:rsidRPr="00F47116" w:rsidRDefault="00F47116" w:rsidP="00F47116">
      <w:pPr>
        <w:spacing w:after="200" w:line="240" w:lineRule="auto"/>
        <w:ind w:firstLine="709"/>
        <w:contextualSpacing/>
        <w:jc w:val="right"/>
        <w:rPr>
          <w:rFonts w:ascii="Times New Roman" w:eastAsia="Calibri" w:hAnsi="Times New Roman" w:cs="Times New Roman"/>
          <w:sz w:val="24"/>
          <w:szCs w:val="24"/>
          <w:lang w:eastAsia="ru-RU"/>
        </w:rPr>
      </w:pPr>
      <w:r w:rsidRPr="00F47116">
        <w:rPr>
          <w:rFonts w:ascii="Times New Roman" w:eastAsia="Calibri" w:hAnsi="Times New Roman" w:cs="Times New Roman"/>
          <w:sz w:val="24"/>
          <w:szCs w:val="24"/>
          <w:lang w:eastAsia="ru-RU"/>
        </w:rPr>
        <w:t>(тыс. рублей)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3"/>
        <w:gridCol w:w="1539"/>
        <w:gridCol w:w="898"/>
        <w:gridCol w:w="1059"/>
        <w:gridCol w:w="620"/>
        <w:gridCol w:w="1539"/>
        <w:gridCol w:w="898"/>
        <w:gridCol w:w="1059"/>
        <w:gridCol w:w="620"/>
      </w:tblGrid>
      <w:tr w:rsidR="00F47116" w:rsidRPr="00F47116" w:rsidTr="0023463D">
        <w:trPr>
          <w:trHeight w:val="357"/>
          <w:jc w:val="cent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Показатели бюджета</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color w:val="000000"/>
                <w:sz w:val="15"/>
                <w:szCs w:val="15"/>
                <w:lang w:eastAsia="ru-RU"/>
              </w:rPr>
            </w:pPr>
            <w:r w:rsidRPr="00F47116">
              <w:rPr>
                <w:rFonts w:ascii="Times New Roman" w:eastAsia="Times New Roman" w:hAnsi="Times New Roman" w:cs="Times New Roman"/>
                <w:b/>
                <w:color w:val="000000"/>
                <w:sz w:val="15"/>
                <w:szCs w:val="15"/>
                <w:lang w:eastAsia="ru-RU"/>
              </w:rPr>
              <w:t>2025 год</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color w:val="000000"/>
                <w:sz w:val="15"/>
                <w:szCs w:val="15"/>
                <w:lang w:eastAsia="ru-RU"/>
              </w:rPr>
            </w:pPr>
            <w:r w:rsidRPr="00F47116">
              <w:rPr>
                <w:rFonts w:ascii="Times New Roman" w:eastAsia="Times New Roman" w:hAnsi="Times New Roman" w:cs="Times New Roman"/>
                <w:b/>
                <w:color w:val="000000"/>
                <w:sz w:val="15"/>
                <w:szCs w:val="15"/>
                <w:lang w:eastAsia="ru-RU"/>
              </w:rPr>
              <w:t>2026 год</w:t>
            </w:r>
          </w:p>
        </w:tc>
      </w:tr>
      <w:tr w:rsidR="00F47116" w:rsidRPr="00F47116" w:rsidTr="0023463D">
        <w:trPr>
          <w:trHeight w:val="105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76" w:lineRule="auto"/>
              <w:rPr>
                <w:rFonts w:ascii="Times New Roman" w:eastAsia="Times New Roman" w:hAnsi="Times New Roman" w:cs="Times New Roman"/>
                <w:b/>
                <w:bCs/>
                <w:color w:val="000000"/>
                <w:sz w:val="15"/>
                <w:szCs w:val="15"/>
                <w:lang w:eastAsia="ru-RU"/>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Calibri" w:hAnsi="Times New Roman" w:cs="Times New Roman"/>
                <w:b/>
                <w:bCs/>
                <w:color w:val="000000"/>
                <w:sz w:val="15"/>
                <w:szCs w:val="15"/>
              </w:rPr>
              <w:t xml:space="preserve">Решение Думы                             от 15.12.2023 № 391                      </w:t>
            </w:r>
            <w:proofErr w:type="gramStart"/>
            <w:r w:rsidRPr="00F47116">
              <w:rPr>
                <w:rFonts w:ascii="Times New Roman" w:eastAsia="Calibri" w:hAnsi="Times New Roman" w:cs="Times New Roman"/>
                <w:b/>
                <w:bCs/>
                <w:color w:val="000000"/>
                <w:sz w:val="15"/>
                <w:szCs w:val="15"/>
              </w:rPr>
              <w:t xml:space="preserve">   (</w:t>
            </w:r>
            <w:proofErr w:type="gramEnd"/>
            <w:r w:rsidRPr="00F47116">
              <w:rPr>
                <w:rFonts w:ascii="Times New Roman" w:eastAsia="Calibri" w:hAnsi="Times New Roman" w:cs="Times New Roman"/>
                <w:b/>
                <w:bCs/>
                <w:color w:val="000000"/>
                <w:sz w:val="15"/>
                <w:szCs w:val="15"/>
              </w:rPr>
              <w:t xml:space="preserve">с изм.)            </w:t>
            </w:r>
            <w:r w:rsidRPr="00F47116">
              <w:rPr>
                <w:rFonts w:ascii="Times New Roman" w:eastAsia="Times New Roman" w:hAnsi="Times New Roman" w:cs="Times New Roman"/>
                <w:b/>
                <w:bCs/>
                <w:color w:val="000000"/>
                <w:sz w:val="15"/>
                <w:szCs w:val="15"/>
                <w:lang w:eastAsia="ru-RU"/>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Проект решения</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Отклонения</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proofErr w:type="spellStart"/>
            <w:r w:rsidRPr="00F47116">
              <w:rPr>
                <w:rFonts w:ascii="Times New Roman" w:eastAsia="Times New Roman" w:hAnsi="Times New Roman" w:cs="Times New Roman"/>
                <w:b/>
                <w:bCs/>
                <w:color w:val="000000"/>
                <w:sz w:val="15"/>
                <w:szCs w:val="15"/>
                <w:lang w:eastAsia="ru-RU"/>
              </w:rPr>
              <w:t>откл</w:t>
            </w:r>
            <w:proofErr w:type="spellEnd"/>
            <w:r w:rsidRPr="00F47116">
              <w:rPr>
                <w:rFonts w:ascii="Times New Roman" w:eastAsia="Times New Roman" w:hAnsi="Times New Roman" w:cs="Times New Roman"/>
                <w:b/>
                <w:bCs/>
                <w:color w:val="000000"/>
                <w:sz w:val="15"/>
                <w:szCs w:val="15"/>
                <w:lang w:eastAsia="ru-RU"/>
              </w:rPr>
              <w:t>. в %</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200" w:line="240" w:lineRule="auto"/>
              <w:jc w:val="center"/>
              <w:rPr>
                <w:rFonts w:ascii="Times New Roman" w:eastAsia="Calibri" w:hAnsi="Times New Roman" w:cs="Times New Roman"/>
                <w:b/>
                <w:bCs/>
                <w:color w:val="000000"/>
                <w:sz w:val="15"/>
                <w:szCs w:val="15"/>
              </w:rPr>
            </w:pPr>
          </w:p>
          <w:p w:rsidR="00F47116" w:rsidRPr="00F47116" w:rsidRDefault="00F47116" w:rsidP="00F47116">
            <w:pPr>
              <w:spacing w:after="200" w:line="240" w:lineRule="auto"/>
              <w:jc w:val="center"/>
              <w:rPr>
                <w:rFonts w:ascii="Times New Roman" w:eastAsia="Calibri" w:hAnsi="Times New Roman" w:cs="Times New Roman"/>
                <w:b/>
                <w:bCs/>
                <w:color w:val="000000"/>
                <w:sz w:val="15"/>
                <w:szCs w:val="15"/>
              </w:rPr>
            </w:pPr>
            <w:r w:rsidRPr="00F47116">
              <w:rPr>
                <w:rFonts w:ascii="Times New Roman" w:eastAsia="Calibri" w:hAnsi="Times New Roman" w:cs="Times New Roman"/>
                <w:b/>
                <w:bCs/>
                <w:color w:val="000000"/>
                <w:sz w:val="15"/>
                <w:szCs w:val="15"/>
              </w:rPr>
              <w:t xml:space="preserve">Решение Думы                             от 15.12.2023 № 391                      </w:t>
            </w:r>
            <w:proofErr w:type="gramStart"/>
            <w:r w:rsidRPr="00F47116">
              <w:rPr>
                <w:rFonts w:ascii="Times New Roman" w:eastAsia="Calibri" w:hAnsi="Times New Roman" w:cs="Times New Roman"/>
                <w:b/>
                <w:bCs/>
                <w:color w:val="000000"/>
                <w:sz w:val="15"/>
                <w:szCs w:val="15"/>
              </w:rPr>
              <w:t xml:space="preserve">   (</w:t>
            </w:r>
            <w:proofErr w:type="gramEnd"/>
            <w:r w:rsidRPr="00F47116">
              <w:rPr>
                <w:rFonts w:ascii="Times New Roman" w:eastAsia="Calibri" w:hAnsi="Times New Roman" w:cs="Times New Roman"/>
                <w:b/>
                <w:bCs/>
                <w:color w:val="000000"/>
                <w:sz w:val="15"/>
                <w:szCs w:val="15"/>
              </w:rPr>
              <w:t xml:space="preserve">с изм.)            </w:t>
            </w:r>
            <w:r w:rsidRPr="00F47116">
              <w:rPr>
                <w:rFonts w:ascii="Times New Roman" w:eastAsia="Times New Roman" w:hAnsi="Times New Roman" w:cs="Times New Roman"/>
                <w:b/>
                <w:bCs/>
                <w:color w:val="000000"/>
                <w:sz w:val="15"/>
                <w:szCs w:val="15"/>
                <w:lang w:eastAsia="ru-RU"/>
              </w:rPr>
              <w:t xml:space="preserve">                      </w:t>
            </w:r>
          </w:p>
          <w:p w:rsidR="00F47116" w:rsidRPr="00F47116" w:rsidRDefault="00F47116" w:rsidP="00F47116">
            <w:pPr>
              <w:spacing w:after="200" w:line="240" w:lineRule="auto"/>
              <w:jc w:val="center"/>
              <w:rPr>
                <w:rFonts w:ascii="Times New Roman" w:eastAsia="Calibri" w:hAnsi="Times New Roman" w:cs="Times New Roman"/>
                <w:b/>
                <w:bCs/>
                <w:color w:val="000000"/>
                <w:sz w:val="15"/>
                <w:szCs w:val="15"/>
              </w:rPr>
            </w:pPr>
            <w:r w:rsidRPr="00F47116">
              <w:rPr>
                <w:rFonts w:ascii="Times New Roman" w:eastAsia="Calibri" w:hAnsi="Times New Roman" w:cs="Times New Roman"/>
                <w:b/>
                <w:bCs/>
                <w:color w:val="000000"/>
                <w:sz w:val="15"/>
                <w:szCs w:val="15"/>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Проект решения</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Отклонения</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proofErr w:type="spellStart"/>
            <w:r w:rsidRPr="00F47116">
              <w:rPr>
                <w:rFonts w:ascii="Times New Roman" w:eastAsia="Times New Roman" w:hAnsi="Times New Roman" w:cs="Times New Roman"/>
                <w:b/>
                <w:bCs/>
                <w:color w:val="000000"/>
                <w:sz w:val="15"/>
                <w:szCs w:val="15"/>
                <w:lang w:eastAsia="ru-RU"/>
              </w:rPr>
              <w:t>откл</w:t>
            </w:r>
            <w:proofErr w:type="spellEnd"/>
            <w:r w:rsidRPr="00F47116">
              <w:rPr>
                <w:rFonts w:ascii="Times New Roman" w:eastAsia="Times New Roman" w:hAnsi="Times New Roman" w:cs="Times New Roman"/>
                <w:b/>
                <w:bCs/>
                <w:color w:val="000000"/>
                <w:sz w:val="15"/>
                <w:szCs w:val="15"/>
                <w:lang w:eastAsia="ru-RU"/>
              </w:rPr>
              <w:t>. в %</w:t>
            </w:r>
          </w:p>
        </w:tc>
      </w:tr>
      <w:tr w:rsidR="00F47116" w:rsidRPr="00F47116" w:rsidTr="0023463D">
        <w:trPr>
          <w:trHeight w:val="300"/>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
                <w:bCs/>
                <w:color w:val="000000"/>
                <w:sz w:val="15"/>
                <w:szCs w:val="15"/>
                <w:lang w:eastAsia="ru-RU"/>
              </w:rPr>
            </w:pPr>
            <w:r w:rsidRPr="00F47116">
              <w:rPr>
                <w:rFonts w:ascii="Times New Roman" w:eastAsia="Times New Roman" w:hAnsi="Times New Roman" w:cs="Times New Roman"/>
                <w:b/>
                <w:bCs/>
                <w:color w:val="000000"/>
                <w:sz w:val="15"/>
                <w:szCs w:val="15"/>
                <w:lang w:eastAsia="ru-RU"/>
              </w:rPr>
              <w:t>10</w:t>
            </w:r>
          </w:p>
        </w:tc>
      </w:tr>
      <w:tr w:rsidR="00F47116" w:rsidRPr="00F47116" w:rsidTr="0023463D">
        <w:trPr>
          <w:trHeight w:val="300"/>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Times New Roman" w:hAnsi="Times New Roman" w:cs="Times New Roman"/>
                <w:bCs/>
                <w:color w:val="000000"/>
                <w:sz w:val="15"/>
                <w:szCs w:val="15"/>
                <w:lang w:eastAsia="ru-RU"/>
              </w:rPr>
              <w:t>Доходы</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4 380 741,0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4 380 741,0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4 451 464,2</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4 451 464,2</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r>
      <w:tr w:rsidR="00F47116" w:rsidRPr="00F47116" w:rsidTr="0023463D">
        <w:trPr>
          <w:trHeight w:val="300"/>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Times New Roman" w:hAnsi="Times New Roman" w:cs="Times New Roman"/>
                <w:bCs/>
                <w:color w:val="000000"/>
                <w:sz w:val="15"/>
                <w:szCs w:val="15"/>
                <w:lang w:eastAsia="ru-RU"/>
              </w:rPr>
              <w:t>Расходы</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4 500 347,2</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4 500 347,2</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4 504 077,5</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4 504 077,5</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r>
      <w:tr w:rsidR="00F47116" w:rsidRPr="00F47116" w:rsidTr="0023463D">
        <w:trPr>
          <w:trHeight w:val="286"/>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Times New Roman" w:hAnsi="Times New Roman" w:cs="Times New Roman"/>
                <w:bCs/>
                <w:color w:val="000000"/>
                <w:sz w:val="15"/>
                <w:szCs w:val="15"/>
                <w:lang w:eastAsia="ru-RU"/>
              </w:rPr>
              <w:t>Дефицит</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-119 606,2</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-119 606,2</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-52 613,3</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-52 613,3</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c>
          <w:tcPr>
            <w:tcW w:w="0" w:type="auto"/>
            <w:tcBorders>
              <w:top w:val="single" w:sz="4" w:space="0" w:color="auto"/>
              <w:left w:val="single" w:sz="4" w:space="0" w:color="auto"/>
              <w:bottom w:val="single" w:sz="4" w:space="0" w:color="auto"/>
              <w:right w:val="single" w:sz="4" w:space="0" w:color="auto"/>
            </w:tcBorders>
            <w:hideMark/>
          </w:tcPr>
          <w:p w:rsidR="00F47116" w:rsidRPr="00F47116" w:rsidRDefault="00F47116" w:rsidP="00F47116">
            <w:pPr>
              <w:spacing w:after="0" w:line="240" w:lineRule="auto"/>
              <w:jc w:val="center"/>
              <w:rPr>
                <w:rFonts w:ascii="Times New Roman" w:eastAsia="Times New Roman" w:hAnsi="Times New Roman" w:cs="Times New Roman"/>
                <w:bCs/>
                <w:color w:val="000000"/>
                <w:sz w:val="15"/>
                <w:szCs w:val="15"/>
                <w:lang w:eastAsia="ru-RU"/>
              </w:rPr>
            </w:pPr>
            <w:r w:rsidRPr="00F47116">
              <w:rPr>
                <w:rFonts w:ascii="Times New Roman" w:eastAsia="Calibri" w:hAnsi="Times New Roman" w:cs="Times New Roman"/>
                <w:sz w:val="15"/>
                <w:szCs w:val="15"/>
              </w:rPr>
              <w:t>0,0</w:t>
            </w:r>
          </w:p>
        </w:tc>
      </w:tr>
    </w:tbl>
    <w:p w:rsidR="00F47116" w:rsidRPr="00F47116" w:rsidRDefault="00F47116" w:rsidP="00F47116">
      <w:pPr>
        <w:spacing w:after="200" w:line="240" w:lineRule="auto"/>
        <w:ind w:firstLine="709"/>
        <w:contextualSpacing/>
        <w:jc w:val="both"/>
        <w:rPr>
          <w:rFonts w:ascii="Times New Roman" w:eastAsia="Calibri" w:hAnsi="Times New Roman" w:cs="Times New Roman"/>
          <w:sz w:val="18"/>
          <w:szCs w:val="18"/>
          <w:highlight w:val="yellow"/>
          <w:lang w:eastAsia="ru-RU"/>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Проектом решения не уточняется объем доходной и расходной части бюджета муниципального района на плановый период 2025 и 2026 годов. </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r w:rsidRPr="00F47116">
        <w:rPr>
          <w:rFonts w:ascii="Times New Roman" w:eastAsia="Calibri" w:hAnsi="Times New Roman" w:cs="Times New Roman"/>
          <w:b/>
          <w:bCs/>
          <w:sz w:val="28"/>
          <w:szCs w:val="28"/>
        </w:rPr>
        <w:t>V. Выводы и предложения</w:t>
      </w:r>
    </w:p>
    <w:p w:rsidR="00F47116" w:rsidRPr="00F47116" w:rsidRDefault="00F47116" w:rsidP="00F47116">
      <w:pPr>
        <w:spacing w:after="0" w:line="240" w:lineRule="auto"/>
        <w:ind w:firstLine="709"/>
        <w:contextualSpacing/>
        <w:jc w:val="center"/>
        <w:rPr>
          <w:rFonts w:ascii="Times New Roman" w:eastAsia="Calibri" w:hAnsi="Times New Roman" w:cs="Times New Roman"/>
          <w:b/>
          <w:bCs/>
          <w:sz w:val="28"/>
          <w:szCs w:val="28"/>
        </w:rPr>
      </w:pP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 xml:space="preserve">По результатам экспертно-аналитического мероприятия «Экспертиза проекта решения Думы Ханты-Мансийского района «О внесении изменений в решение Думы Ханты-Мансийского района от 15.12.2023 № 391 «О бюджете </w:t>
      </w:r>
      <w:r w:rsidRPr="00F47116">
        <w:rPr>
          <w:rFonts w:ascii="Times New Roman" w:eastAsia="Calibri" w:hAnsi="Times New Roman" w:cs="Times New Roman"/>
          <w:sz w:val="28"/>
          <w:szCs w:val="28"/>
        </w:rPr>
        <w:lastRenderedPageBreak/>
        <w:t>Ханты-Мансийского района на 2024 год и плановый период 2025 и 2026 годов», Контрольно-счетная палата Ханты-Мансийского района предлагает:</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1. Думе Ханты-Мансийского района: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1.1. принять к рассмотрению представленный проект решения Думы        Ханты-Мансийского района «О внесении изменений в решение Думы                      Ханты-Мансийского района от 15.12.2023 № 391 «О бюджете                                      Ханты-Мансийского района на 2024 год и плановый период 2025 и 2026 годов».</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2. Администрации Ханты-Мансийского района:</w:t>
      </w:r>
    </w:p>
    <w:p w:rsidR="00F47116" w:rsidRPr="00F47116" w:rsidRDefault="00F47116" w:rsidP="00F47116">
      <w:pPr>
        <w:spacing w:after="0" w:line="240" w:lineRule="auto"/>
        <w:ind w:firstLine="709"/>
        <w:contextualSpacing/>
        <w:jc w:val="both"/>
        <w:rPr>
          <w:rFonts w:ascii="Times New Roman" w:eastAsia="Calibri" w:hAnsi="Times New Roman" w:cs="Times New Roman"/>
          <w:sz w:val="28"/>
          <w:szCs w:val="28"/>
        </w:rPr>
      </w:pPr>
      <w:r w:rsidRPr="00F47116">
        <w:rPr>
          <w:rFonts w:ascii="Times New Roman" w:eastAsia="Calibri" w:hAnsi="Times New Roman" w:cs="Times New Roman"/>
          <w:sz w:val="28"/>
          <w:szCs w:val="28"/>
        </w:rPr>
        <w:t>2.1. продолжить исполнение решения о бюджете района на очередной финансовый год и плановый период в соответствии с действующим федеральным и региональным законодательством и нормативными актами Ханты-Мансийского района.</w:t>
      </w:r>
    </w:p>
    <w:p w:rsidR="00F47116" w:rsidRPr="00F47116" w:rsidRDefault="00F47116" w:rsidP="00F47116">
      <w:pPr>
        <w:spacing w:after="0" w:line="240" w:lineRule="auto"/>
        <w:ind w:firstLine="708"/>
        <w:jc w:val="both"/>
        <w:rPr>
          <w:rFonts w:ascii="Times New Roman" w:eastAsia="Times New Roman" w:hAnsi="Times New Roman" w:cs="Times New Roman"/>
          <w:sz w:val="28"/>
          <w:szCs w:val="28"/>
          <w:lang w:eastAsia="ru-RU"/>
        </w:rPr>
      </w:pPr>
    </w:p>
    <w:p w:rsidR="00241EA9" w:rsidRDefault="00F47116"/>
    <w:sectPr w:rsidR="00241E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36B"/>
    <w:rsid w:val="0065736B"/>
    <w:rsid w:val="00922107"/>
    <w:rsid w:val="00E4580F"/>
    <w:rsid w:val="00F471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DAA75C"/>
  <w15:chartTrackingRefBased/>
  <w15:docId w15:val="{3F2A4645-7344-4FDB-A904-58092A7DD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4000</Words>
  <Characters>22805</Characters>
  <Application>Microsoft Office Word</Application>
  <DocSecurity>0</DocSecurity>
  <Lines>190</Lines>
  <Paragraphs>53</Paragraphs>
  <ScaleCrop>false</ScaleCrop>
  <Company/>
  <LinksUpToDate>false</LinksUpToDate>
  <CharactersWithSpaces>26752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Горшкова А.В.</dc:creator>
  <cp:keywords/>
  <dc:description/>
  <cp:lastModifiedBy>Горшкова А.В.</cp:lastModifiedBy>
  <cp:revision>2</cp:revision>
  <dcterms:created xsi:type="dcterms:W3CDTF">2024-12-17T10:24:00Z</dcterms:created>
  <dcterms:modified xsi:type="dcterms:W3CDTF">2024-12-17T10:25:00Z</dcterms:modified>
</cp:coreProperties>
</file>